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rFonts w:hint="eastAsia"/>
          <w:sz w:val="24"/>
        </w:rPr>
      </w:pPr>
    </w:p>
    <w:p>
      <w:pPr>
        <w:widowControl/>
      </w:pPr>
    </w:p>
    <w:p>
      <w:pPr>
        <w:widowControl/>
      </w:pPr>
    </w:p>
    <w:p>
      <w:pPr>
        <w:widowControl/>
        <w:jc w:val="center"/>
        <w:rPr>
          <w:sz w:val="24"/>
        </w:rPr>
      </w:pPr>
      <w:r>
        <w:rPr>
          <w:rFonts w:hint="eastAsia"/>
          <w:sz w:val="24"/>
        </w:rPr>
        <w:t>統一的な基準による財務書類作成業務委託</w:t>
      </w:r>
    </w:p>
    <w:p>
      <w:pPr>
        <w:widowControl/>
      </w:pPr>
    </w:p>
    <w:p>
      <w:pPr>
        <w:widowControl/>
        <w:jc w:val="center"/>
        <w:rPr>
          <w:sz w:val="24"/>
        </w:rPr>
      </w:pPr>
      <w:r>
        <w:rPr>
          <w:rFonts w:hint="eastAsia"/>
          <w:sz w:val="24"/>
        </w:rPr>
        <w:t>仕様書</w:t>
      </w:r>
    </w:p>
    <w:p>
      <w:pPr>
        <w:widowControl/>
      </w:pPr>
    </w:p>
    <w:p>
      <w:pPr>
        <w:widowControl/>
      </w:pPr>
    </w:p>
    <w:p>
      <w:pPr>
        <w:widowControl/>
      </w:pPr>
    </w:p>
    <w:p>
      <w:pPr>
        <w:widowControl/>
      </w:pPr>
    </w:p>
    <w:p>
      <w:pPr>
        <w:widowControl/>
      </w:pPr>
    </w:p>
    <w:p>
      <w:pPr>
        <w:widowControl/>
        <w:jc w:val="center"/>
        <w:rPr>
          <w:sz w:val="24"/>
        </w:rPr>
      </w:pPr>
      <w:r>
        <w:rPr>
          <w:rFonts w:hint="eastAsia"/>
          <w:sz w:val="24"/>
        </w:rPr>
        <w:t>令和２年6月</w:t>
      </w:r>
    </w:p>
    <w:p>
      <w:pPr>
        <w:widowControl/>
      </w:pPr>
    </w:p>
    <w:p>
      <w:pPr>
        <w:widowControl/>
        <w:jc w:val="center"/>
        <w:rPr>
          <w:sz w:val="24"/>
        </w:rPr>
      </w:pPr>
      <w:r>
        <w:rPr>
          <w:rFonts w:hint="eastAsia"/>
          <w:sz w:val="24"/>
        </w:rPr>
        <w:t>魚津市役所企画総務部財政課</w:t>
      </w:r>
    </w:p>
    <w:p>
      <w:pPr>
        <w:widowControl/>
      </w:pPr>
    </w:p>
    <w:p>
      <w:pPr>
        <w:widowControl/>
      </w:pPr>
    </w:p>
    <w:p>
      <w:pPr>
        <w:widowControl/>
      </w:pPr>
    </w:p>
    <w:p>
      <w:pPr>
        <w:widowControl/>
      </w:pPr>
    </w:p>
    <w:p>
      <w:pPr>
        <w:widowControl/>
        <w:jc w:val="left"/>
      </w:pPr>
      <w:r>
        <w:br w:type="page"/>
      </w:r>
    </w:p>
    <w:p>
      <w:pPr>
        <w:pStyle w:val="12"/>
        <w:widowControl/>
        <w:numPr>
          <w:ilvl w:val="0"/>
          <w:numId w:val="1"/>
        </w:numPr>
        <w:ind w:leftChars="0"/>
      </w:pPr>
      <w:r>
        <w:rPr>
          <w:rFonts w:hint="eastAsia"/>
        </w:rPr>
        <w:t>業務目的</w:t>
      </w:r>
    </w:p>
    <w:p>
      <w:pPr>
        <w:widowControl/>
      </w:pPr>
      <w:r>
        <w:rPr>
          <w:rFonts w:hint="eastAsia"/>
        </w:rPr>
        <w:t>　魚津市では財務諸表を作成し、財政状況を市民に適時、的確に公表することが必要であるため、統一的な基準に基づく財務諸表作成に関して十分な専門知識を有する事業者（以下、「受注者」という。）から支援を受け、財務諸表を早期に作成・公表し、行財政改革の推進に向け活用することを目的とする。</w:t>
      </w:r>
    </w:p>
    <w:p>
      <w:pPr>
        <w:widowControl/>
      </w:pPr>
    </w:p>
    <w:p>
      <w:pPr>
        <w:pStyle w:val="12"/>
        <w:widowControl/>
        <w:numPr>
          <w:ilvl w:val="0"/>
          <w:numId w:val="1"/>
        </w:numPr>
        <w:ind w:leftChars="0"/>
      </w:pPr>
      <w:r>
        <w:rPr>
          <w:rFonts w:hint="eastAsia"/>
        </w:rPr>
        <w:t>履行期間</w:t>
      </w:r>
    </w:p>
    <w:p>
      <w:pPr>
        <w:widowControl/>
      </w:pPr>
      <w:r>
        <w:rPr>
          <w:rFonts w:hint="eastAsia"/>
        </w:rPr>
        <w:t>　契約締結の日から令和３年３月31日まで</w:t>
      </w:r>
    </w:p>
    <w:p>
      <w:pPr>
        <w:widowControl/>
      </w:pPr>
    </w:p>
    <w:p>
      <w:pPr>
        <w:pStyle w:val="12"/>
        <w:widowControl/>
        <w:numPr>
          <w:ilvl w:val="0"/>
          <w:numId w:val="1"/>
        </w:numPr>
        <w:ind w:leftChars="0"/>
      </w:pPr>
      <w:r>
        <w:rPr>
          <w:rFonts w:hint="eastAsia"/>
        </w:rPr>
        <w:t>業務内容</w:t>
      </w:r>
    </w:p>
    <w:p>
      <w:pPr>
        <w:widowControl/>
      </w:pPr>
      <w:r>
        <w:rPr>
          <w:rFonts w:hint="eastAsia"/>
        </w:rPr>
        <w:t>　具体的な業務内容は以下のとおり。</w:t>
      </w:r>
    </w:p>
    <w:p>
      <w:pPr>
        <w:widowControl/>
      </w:pPr>
    </w:p>
    <w:p>
      <w:pPr>
        <w:widowControl/>
      </w:pPr>
      <w:r>
        <w:rPr>
          <w:rFonts w:hint="eastAsia"/>
        </w:rPr>
        <w:t>３－１　地方公会計システム導入</w:t>
      </w:r>
    </w:p>
    <w:p>
      <w:pPr>
        <w:widowControl/>
      </w:pPr>
      <w:r>
        <w:rPr>
          <w:rFonts w:hint="eastAsia"/>
        </w:rPr>
        <w:t>　「統一的な基準による地方公会計マニュアル」の考えに準拠し、㈱システムディ社製の公会計システム「ＰＰＰ」の導入を前提とし、稼働開始するのに必要な環境設定、各種マスタ整備および初期データセット等を行うこと。</w:t>
      </w:r>
    </w:p>
    <w:p>
      <w:pPr>
        <w:widowControl/>
      </w:pPr>
      <w:r>
        <w:rPr>
          <w:rFonts w:hint="eastAsia"/>
        </w:rPr>
        <w:t>　作業内容は以下のとおり。</w:t>
      </w:r>
    </w:p>
    <w:p>
      <w:pPr>
        <w:pStyle w:val="12"/>
        <w:widowControl/>
        <w:numPr>
          <w:ilvl w:val="0"/>
          <w:numId w:val="2"/>
        </w:numPr>
        <w:ind w:leftChars="0"/>
      </w:pPr>
      <w:r>
        <w:rPr>
          <w:rFonts w:hint="eastAsia"/>
        </w:rPr>
        <w:t>地方公会計システム稼働環境構築作業</w:t>
      </w:r>
    </w:p>
    <w:p>
      <w:pPr>
        <w:pStyle w:val="12"/>
        <w:widowControl/>
        <w:numPr>
          <w:ilvl w:val="0"/>
          <w:numId w:val="2"/>
        </w:numPr>
        <w:ind w:leftChars="0"/>
      </w:pPr>
      <w:r>
        <w:rPr>
          <w:rFonts w:hint="eastAsia"/>
        </w:rPr>
        <w:t>各種マスタ整備作業</w:t>
      </w:r>
    </w:p>
    <w:p>
      <w:pPr>
        <w:pStyle w:val="12"/>
        <w:widowControl/>
        <w:numPr>
          <w:ilvl w:val="0"/>
          <w:numId w:val="2"/>
        </w:numPr>
        <w:ind w:leftChars="0"/>
      </w:pPr>
      <w:r>
        <w:rPr>
          <w:rFonts w:hint="eastAsia"/>
        </w:rPr>
        <w:t>固定資産台帳データ取込作業</w:t>
      </w:r>
    </w:p>
    <w:p>
      <w:pPr>
        <w:pStyle w:val="12"/>
        <w:widowControl/>
        <w:numPr>
          <w:ilvl w:val="0"/>
          <w:numId w:val="2"/>
        </w:numPr>
        <w:ind w:leftChars="0"/>
      </w:pPr>
      <w:r>
        <w:rPr>
          <w:rFonts w:hint="eastAsia"/>
        </w:rPr>
        <w:t>貸借対照表データ取込作業</w:t>
      </w:r>
    </w:p>
    <w:p>
      <w:pPr>
        <w:widowControl/>
      </w:pPr>
    </w:p>
    <w:p>
      <w:pPr>
        <w:widowControl/>
      </w:pPr>
      <w:r>
        <w:rPr>
          <w:rFonts w:hint="eastAsia"/>
        </w:rPr>
        <w:t>３－２　地方公会計システム運用保守</w:t>
      </w:r>
    </w:p>
    <w:p>
      <w:pPr>
        <w:widowControl/>
      </w:pPr>
      <w:r>
        <w:rPr>
          <w:rFonts w:hint="eastAsia"/>
        </w:rPr>
        <w:t>　既存システムから抽出したデータの取込作業や、地方公会計システムのバージョンアップ作業、障害対応等、地方公会計システムの運用保守に必要な作業を行うこと。</w:t>
      </w:r>
    </w:p>
    <w:p>
      <w:pPr>
        <w:widowControl/>
      </w:pPr>
      <w:r>
        <w:rPr>
          <w:rFonts w:hint="eastAsia"/>
        </w:rPr>
        <w:t>　なお、既存システムデータについては、本市から受注者へ提供するものとする。</w:t>
      </w:r>
    </w:p>
    <w:p>
      <w:pPr>
        <w:widowControl/>
      </w:pPr>
    </w:p>
    <w:p>
      <w:pPr>
        <w:widowControl/>
      </w:pPr>
      <w:r>
        <w:rPr>
          <w:rFonts w:hint="eastAsia"/>
        </w:rPr>
        <w:t>３－3　財務書類４表の作成</w:t>
      </w:r>
    </w:p>
    <w:p>
      <w:pPr>
        <w:pStyle w:val="12"/>
        <w:widowControl/>
        <w:numPr>
          <w:ilvl w:val="0"/>
          <w:numId w:val="3"/>
        </w:numPr>
        <w:ind w:leftChars="0"/>
      </w:pPr>
      <w:r>
        <w:rPr>
          <w:rFonts w:hint="eastAsia"/>
          <w:lang w:eastAsia="ja-JP"/>
        </w:rPr>
        <w:t>貸借</w:t>
      </w:r>
      <w:bookmarkStart w:id="0" w:name="_GoBack"/>
      <w:bookmarkEnd w:id="0"/>
      <w:r>
        <w:rPr>
          <w:rFonts w:hint="eastAsia"/>
        </w:rPr>
        <w:t>対照表の作成及び開始データのシステムセットアップ</w:t>
      </w:r>
    </w:p>
    <w:p>
      <w:pPr>
        <w:pStyle w:val="12"/>
        <w:widowControl/>
        <w:ind w:left="930" w:leftChars="0"/>
      </w:pPr>
      <w:r>
        <w:rPr>
          <w:rFonts w:hint="eastAsia"/>
        </w:rPr>
        <w:t>固定資産台帳をシステムが要求するデータレイアウトに変換し取込み、金融資産・負債データについてもシステムへ取込み、貸借対照表を作成すること。</w:t>
      </w:r>
    </w:p>
    <w:p>
      <w:pPr>
        <w:pStyle w:val="12"/>
        <w:widowControl/>
        <w:ind w:left="930" w:leftChars="0"/>
      </w:pPr>
    </w:p>
    <w:p>
      <w:pPr>
        <w:pStyle w:val="12"/>
        <w:widowControl/>
        <w:numPr>
          <w:ilvl w:val="0"/>
          <w:numId w:val="3"/>
        </w:numPr>
        <w:ind w:leftChars="0"/>
      </w:pPr>
      <w:r>
        <w:rPr>
          <w:rFonts w:hint="eastAsia"/>
        </w:rPr>
        <w:t>令和１年度決算における歳入・歳出科目の複式仕訳パターンの作成</w:t>
      </w:r>
    </w:p>
    <w:p>
      <w:pPr>
        <w:pStyle w:val="12"/>
        <w:widowControl/>
        <w:ind w:left="930" w:leftChars="0"/>
      </w:pPr>
      <w:r>
        <w:rPr>
          <w:rFonts w:hint="eastAsia"/>
        </w:rPr>
        <w:t>財務書類作成要領に基づく仕訳パターンの設計、また記載がないものや判断に迷う仕訳について経験に基づき妥当と思われる仕訳パターンを設計すること。</w:t>
      </w:r>
    </w:p>
    <w:p>
      <w:pPr>
        <w:widowControl/>
      </w:pPr>
    </w:p>
    <w:p>
      <w:pPr>
        <w:pStyle w:val="12"/>
        <w:widowControl/>
        <w:numPr>
          <w:ilvl w:val="0"/>
          <w:numId w:val="3"/>
        </w:numPr>
        <w:ind w:leftChars="0"/>
      </w:pPr>
      <w:r>
        <w:rPr>
          <w:rFonts w:hint="eastAsia"/>
        </w:rPr>
        <w:t>新規取得資産データ及び既存資産異動データの整理・とりまとめ</w:t>
      </w:r>
    </w:p>
    <w:p>
      <w:pPr>
        <w:pStyle w:val="12"/>
        <w:widowControl/>
        <w:ind w:left="930" w:leftChars="0"/>
      </w:pPr>
      <w:r>
        <w:rPr>
          <w:rFonts w:hint="eastAsia"/>
        </w:rPr>
        <w:t>固定資産の評価については、本市の資産管理台帳及び資産区分に必要な工事検査調書・設計書等の資料に基づき、総務省から示される各種報告書や手引きの内容を踏まえた適正な固定資産の評価を行うこと。また、資産計上区分に当たり、合理的かつ精緻な判断を行った根拠を明らかにする資産評価区分シートを全て作成すること。ここで言う資産評価区分シートとは、固定資産計上に要する直接工事費の他、委託費などの間接費を自動配賦させるエクセルシートを言う。</w:t>
      </w:r>
    </w:p>
    <w:p>
      <w:pPr>
        <w:pStyle w:val="12"/>
        <w:widowControl/>
        <w:ind w:left="930" w:leftChars="0"/>
      </w:pPr>
    </w:p>
    <w:p>
      <w:pPr>
        <w:pStyle w:val="12"/>
        <w:widowControl/>
        <w:numPr>
          <w:ilvl w:val="0"/>
          <w:numId w:val="3"/>
        </w:numPr>
        <w:ind w:leftChars="0"/>
      </w:pPr>
      <w:r>
        <w:rPr>
          <w:rFonts w:hint="eastAsia"/>
        </w:rPr>
        <w:t>決算整理仕訳の作成</w:t>
      </w:r>
    </w:p>
    <w:p>
      <w:pPr>
        <w:pStyle w:val="12"/>
        <w:widowControl/>
        <w:ind w:left="930" w:leftChars="0"/>
      </w:pPr>
      <w:r>
        <w:rPr>
          <w:rFonts w:hint="eastAsia"/>
        </w:rPr>
        <w:t>歳入・歳出科目執行データからは複式仕訳変換することのできない「税等未収金」「貸倒引当金」等の金融資産や「賞与引当金」「退職手当引当金」等の負債に係る勘定科目については、本市が別途提供するデータに基づき、財務諸表作成に必要な決算整理仕訳データの作成を行うものとし、本市が決算整理仕訳に必要となるデータを準備するにあたっては、適切な指導・支援を行うこと。</w:t>
      </w:r>
    </w:p>
    <w:p>
      <w:pPr>
        <w:widowControl/>
      </w:pPr>
    </w:p>
    <w:p>
      <w:pPr>
        <w:pStyle w:val="12"/>
        <w:widowControl/>
        <w:numPr>
          <w:ilvl w:val="0"/>
          <w:numId w:val="3"/>
        </w:numPr>
        <w:ind w:leftChars="0"/>
      </w:pPr>
      <w:r>
        <w:rPr>
          <w:rFonts w:hint="eastAsia"/>
        </w:rPr>
        <w:t>財務諸表の作成支援</w:t>
      </w:r>
    </w:p>
    <w:p>
      <w:pPr>
        <w:pStyle w:val="12"/>
        <w:widowControl/>
        <w:ind w:left="930" w:leftChars="0"/>
      </w:pPr>
      <w:r>
        <w:rPr>
          <w:rFonts w:hint="eastAsia"/>
        </w:rPr>
        <w:t>（１）～（４）で作成されたデータを整理し、一般会計等財務書類及び全体財務書類の作成全般について全面的に支援し、これに付随する付属明細書、注記表についても作成すること。</w:t>
      </w:r>
    </w:p>
    <w:p>
      <w:pPr>
        <w:widowControl/>
      </w:pPr>
    </w:p>
    <w:p>
      <w:pPr>
        <w:widowControl/>
      </w:pPr>
    </w:p>
    <w:p>
      <w:pPr>
        <w:pStyle w:val="12"/>
        <w:widowControl/>
        <w:numPr>
          <w:ilvl w:val="0"/>
          <w:numId w:val="1"/>
        </w:numPr>
        <w:ind w:leftChars="0"/>
      </w:pPr>
      <w:r>
        <w:rPr>
          <w:rFonts w:hint="eastAsia"/>
        </w:rPr>
        <w:t>業務履行場所</w:t>
      </w:r>
    </w:p>
    <w:p>
      <w:pPr>
        <w:widowControl/>
      </w:pPr>
      <w:r>
        <w:rPr>
          <w:rFonts w:hint="eastAsia"/>
        </w:rPr>
        <w:t>　業務履行場所は、本市市役所本庁舎のほか、本市が指定する場所、又は受注者の申出により本市が認めた場所とする。</w:t>
      </w:r>
    </w:p>
    <w:p>
      <w:pPr>
        <w:widowControl/>
      </w:pPr>
    </w:p>
    <w:p>
      <w:pPr>
        <w:widowControl/>
      </w:pPr>
    </w:p>
    <w:p>
      <w:pPr>
        <w:pStyle w:val="12"/>
        <w:widowControl/>
        <w:numPr>
          <w:ilvl w:val="0"/>
          <w:numId w:val="1"/>
        </w:numPr>
        <w:ind w:leftChars="0"/>
      </w:pPr>
      <w:r>
        <w:rPr>
          <w:rFonts w:hint="eastAsia"/>
        </w:rPr>
        <w:t>責任者の設置及び進捗管理等</w:t>
      </w:r>
    </w:p>
    <w:p>
      <w:pPr>
        <w:widowControl/>
      </w:pPr>
      <w:r>
        <w:rPr>
          <w:rFonts w:hint="eastAsia"/>
        </w:rPr>
        <w:t>　受注者は、次に掲げる責任者を設置するとともに、本市と常に連絡や協議等を行い、委託業務の適切な進捗管理を行うものとする。</w:t>
      </w:r>
    </w:p>
    <w:p>
      <w:pPr>
        <w:widowControl/>
      </w:pPr>
    </w:p>
    <w:p>
      <w:pPr>
        <w:widowControl/>
      </w:pPr>
      <w:r>
        <w:rPr>
          <w:rFonts w:hint="eastAsia"/>
        </w:rPr>
        <w:t>①連絡責任者の設置</w:t>
      </w:r>
    </w:p>
    <w:p>
      <w:pPr>
        <w:widowControl/>
      </w:pPr>
      <w:r>
        <w:rPr>
          <w:rFonts w:hint="eastAsia"/>
        </w:rPr>
        <w:t>　受注者は、本業務の開始にあたり本市との連絡調整の責任者を選任し、本市に報告すること。</w:t>
      </w:r>
    </w:p>
    <w:p>
      <w:pPr>
        <w:widowControl/>
      </w:pPr>
    </w:p>
    <w:p>
      <w:pPr>
        <w:widowControl/>
      </w:pPr>
      <w:r>
        <w:rPr>
          <w:rFonts w:hint="eastAsia"/>
        </w:rPr>
        <w:t>②業務責任者の設置</w:t>
      </w:r>
    </w:p>
    <w:p>
      <w:pPr>
        <w:widowControl/>
      </w:pPr>
      <w:r>
        <w:rPr>
          <w:rFonts w:hint="eastAsia"/>
        </w:rPr>
        <w:t>　受注者は、本業務の履行にあたっては、法人税法に関する専門知識・能力を有する税理士かつ、統一的な基準に基づく固定資産台帳整備業務・更新業務及び公会計財務書類の作成・支援実績を有する者を業務責任者に配置すること。なお、連絡責任者と業務責任者は兼任することができる。</w:t>
      </w:r>
    </w:p>
    <w:p>
      <w:pPr>
        <w:widowControl/>
      </w:pPr>
    </w:p>
    <w:p>
      <w:pPr>
        <w:widowControl/>
      </w:pPr>
      <w:r>
        <w:rPr>
          <w:rFonts w:hint="eastAsia"/>
        </w:rPr>
        <w:t>③業務遂行計画書の作成</w:t>
      </w:r>
    </w:p>
    <w:p>
      <w:pPr>
        <w:widowControl/>
      </w:pPr>
      <w:r>
        <w:rPr>
          <w:rFonts w:hint="eastAsia"/>
        </w:rPr>
        <w:t>　受注者は、本業務の開始にあたり、業務遂行計画書を作成し、本市に提出すること。なお、計画書に記載する事項は次に掲げるとおり。</w:t>
      </w:r>
    </w:p>
    <w:p>
      <w:pPr>
        <w:pStyle w:val="12"/>
        <w:widowControl/>
        <w:numPr>
          <w:ilvl w:val="1"/>
          <w:numId w:val="4"/>
        </w:numPr>
        <w:ind w:leftChars="0"/>
      </w:pPr>
      <w:r>
        <w:rPr>
          <w:rFonts w:hint="eastAsia"/>
        </w:rPr>
        <w:t>人員構成（所属、役職、氏名、資格、実績等）</w:t>
      </w:r>
    </w:p>
    <w:p>
      <w:pPr>
        <w:pStyle w:val="12"/>
        <w:widowControl/>
        <w:numPr>
          <w:ilvl w:val="1"/>
          <w:numId w:val="4"/>
        </w:numPr>
        <w:ind w:leftChars="0"/>
      </w:pPr>
      <w:r>
        <w:rPr>
          <w:rFonts w:hint="eastAsia"/>
        </w:rPr>
        <w:t>電話、電子メール等の連絡方法、緊急時連絡先</w:t>
      </w:r>
    </w:p>
    <w:p>
      <w:pPr>
        <w:pStyle w:val="12"/>
        <w:widowControl/>
        <w:numPr>
          <w:ilvl w:val="1"/>
          <w:numId w:val="4"/>
        </w:numPr>
        <w:ind w:leftChars="0"/>
      </w:pPr>
      <w:r>
        <w:rPr>
          <w:rFonts w:hint="eastAsia"/>
        </w:rPr>
        <w:t>業務工程表</w:t>
      </w:r>
    </w:p>
    <w:p>
      <w:pPr>
        <w:widowControl/>
      </w:pPr>
    </w:p>
    <w:p>
      <w:pPr>
        <w:widowControl/>
      </w:pPr>
      <w:r>
        <w:rPr>
          <w:rFonts w:hint="eastAsia"/>
        </w:rPr>
        <w:t>④進捗管理等</w:t>
      </w:r>
    </w:p>
    <w:p>
      <w:pPr>
        <w:widowControl/>
      </w:pPr>
      <w:r>
        <w:rPr>
          <w:rFonts w:hint="eastAsia"/>
        </w:rPr>
        <w:t>　③で作成した業務遂行計画書に基づき、業務の進捗管理を行い、必要に応じて本市に報告すること。</w:t>
      </w:r>
    </w:p>
    <w:p/>
    <w:p/>
    <w:p>
      <w:pPr>
        <w:pStyle w:val="12"/>
        <w:numPr>
          <w:ilvl w:val="0"/>
          <w:numId w:val="1"/>
        </w:numPr>
        <w:ind w:leftChars="0"/>
      </w:pPr>
      <w:r>
        <w:rPr>
          <w:rFonts w:hint="eastAsia"/>
        </w:rPr>
        <w:t>成果物</w:t>
      </w:r>
    </w:p>
    <w:p>
      <w:pPr>
        <w:ind w:firstLine="210" w:firstLineChars="100"/>
      </w:pPr>
      <w:r>
        <w:rPr>
          <w:rFonts w:hint="eastAsia"/>
        </w:rPr>
        <w:t>本業務に基づき、受注者が提出する成果物は次のとおり。</w:t>
      </w:r>
    </w:p>
    <w:p/>
    <w:p>
      <w:r>
        <w:rPr>
          <w:rFonts w:hint="eastAsia"/>
        </w:rPr>
        <w:t>①提出成果物</w:t>
      </w:r>
    </w:p>
    <w:p>
      <w:pPr>
        <w:pStyle w:val="12"/>
        <w:numPr>
          <w:ilvl w:val="0"/>
          <w:numId w:val="5"/>
        </w:numPr>
        <w:ind w:leftChars="0"/>
      </w:pPr>
      <w:r>
        <w:rPr>
          <w:rFonts w:hint="eastAsia"/>
        </w:rPr>
        <w:t>財務書類４表</w:t>
      </w:r>
    </w:p>
    <w:p>
      <w:pPr>
        <w:pStyle w:val="12"/>
        <w:numPr>
          <w:ilvl w:val="0"/>
          <w:numId w:val="5"/>
        </w:numPr>
        <w:ind w:leftChars="0"/>
      </w:pPr>
      <w:r>
        <w:rPr>
          <w:rFonts w:hint="eastAsia"/>
        </w:rPr>
        <w:t>精算表</w:t>
      </w:r>
    </w:p>
    <w:p>
      <w:pPr>
        <w:pStyle w:val="12"/>
        <w:numPr>
          <w:ilvl w:val="0"/>
          <w:numId w:val="5"/>
        </w:numPr>
        <w:ind w:leftChars="0"/>
      </w:pPr>
      <w:r>
        <w:rPr>
          <w:rFonts w:hint="eastAsia"/>
        </w:rPr>
        <w:t>注記表</w:t>
      </w:r>
    </w:p>
    <w:p>
      <w:pPr>
        <w:pStyle w:val="12"/>
        <w:numPr>
          <w:ilvl w:val="0"/>
          <w:numId w:val="5"/>
        </w:numPr>
        <w:ind w:leftChars="0"/>
      </w:pPr>
      <w:r>
        <w:rPr>
          <w:rFonts w:hint="eastAsia"/>
        </w:rPr>
        <w:t>付属明細書</w:t>
      </w:r>
    </w:p>
    <w:p>
      <w:pPr>
        <w:pStyle w:val="12"/>
        <w:numPr>
          <w:ilvl w:val="0"/>
          <w:numId w:val="5"/>
        </w:numPr>
        <w:ind w:leftChars="0"/>
      </w:pPr>
      <w:r>
        <w:rPr>
          <w:rFonts w:hint="eastAsia"/>
        </w:rPr>
        <w:t>固定資産台帳、貸借対照表</w:t>
      </w:r>
    </w:p>
    <w:p>
      <w:pPr>
        <w:pStyle w:val="12"/>
        <w:numPr>
          <w:ilvl w:val="0"/>
          <w:numId w:val="5"/>
        </w:numPr>
        <w:ind w:leftChars="0"/>
      </w:pPr>
      <w:r>
        <w:rPr>
          <w:rFonts w:hint="eastAsia"/>
        </w:rPr>
        <w:t>端末（ノートパソコン、ソフトウェア含む）１台</w:t>
      </w:r>
    </w:p>
    <w:p>
      <w:pPr>
        <w:pStyle w:val="12"/>
        <w:numPr>
          <w:ilvl w:val="0"/>
          <w:numId w:val="5"/>
        </w:numPr>
        <w:ind w:leftChars="0"/>
      </w:pPr>
      <w:r>
        <w:rPr>
          <w:rFonts w:hint="eastAsia"/>
        </w:rPr>
        <w:t>システム操作マニュアル</w:t>
      </w:r>
    </w:p>
    <w:p/>
    <w:p>
      <w:r>
        <w:rPr>
          <w:rFonts w:hint="eastAsia"/>
        </w:rPr>
        <w:t>②納入場所</w:t>
      </w:r>
    </w:p>
    <w:p>
      <w:r>
        <w:rPr>
          <w:rFonts w:hint="eastAsia"/>
        </w:rPr>
        <w:t>　企画総務部財政課（本庁舎２階）</w:t>
      </w:r>
    </w:p>
    <w:p/>
    <w:p>
      <w:pPr>
        <w:pStyle w:val="12"/>
        <w:numPr>
          <w:ilvl w:val="0"/>
          <w:numId w:val="1"/>
        </w:numPr>
        <w:ind w:leftChars="0"/>
      </w:pPr>
      <w:r>
        <w:rPr>
          <w:rFonts w:hint="eastAsia"/>
        </w:rPr>
        <w:t>秘密保持</w:t>
      </w:r>
    </w:p>
    <w:p>
      <w:r>
        <w:rPr>
          <w:rFonts w:hint="eastAsia"/>
        </w:rPr>
        <w:t>　本業務において知りえた情報（周知の情報は除く）は本業務の目的以外に使用し、又は第三者に開示若しくは漏えいしてはならないものとし、そのために必要な措置をとるものとする。また個人情報保護については魚津市個人情報保護条例の規定を適用する。</w:t>
      </w:r>
    </w:p>
    <w:p/>
    <w:p>
      <w:pPr>
        <w:pStyle w:val="12"/>
        <w:numPr>
          <w:ilvl w:val="0"/>
          <w:numId w:val="1"/>
        </w:numPr>
        <w:ind w:leftChars="0"/>
      </w:pPr>
      <w:r>
        <w:rPr>
          <w:rFonts w:hint="eastAsia"/>
        </w:rPr>
        <w:t>一般事項</w:t>
      </w:r>
    </w:p>
    <w:p>
      <w:r>
        <w:rPr>
          <w:rFonts w:hint="eastAsia"/>
        </w:rPr>
        <w:t>①費用負担</w:t>
      </w:r>
    </w:p>
    <w:p>
      <w:r>
        <w:rPr>
          <w:rFonts w:hint="eastAsia"/>
        </w:rPr>
        <w:t>　本業務の遂行に伴う費用は、本仕様書に明記がないものであっても、原則としてすべて受注者の負担とする。</w:t>
      </w:r>
    </w:p>
    <w:p/>
    <w:p>
      <w:r>
        <w:rPr>
          <w:rFonts w:hint="eastAsia"/>
        </w:rPr>
        <w:t>②法令等の順守</w:t>
      </w:r>
    </w:p>
    <w:p>
      <w:r>
        <w:rPr>
          <w:rFonts w:hint="eastAsia"/>
        </w:rPr>
        <w:t>　受注者は、本業務の実施にあたり、関連する法令等を遵守しなければならない。</w:t>
      </w:r>
    </w:p>
    <w:p/>
    <w:p>
      <w:r>
        <w:rPr>
          <w:rFonts w:hint="eastAsia"/>
        </w:rPr>
        <w:t>③成果品の所有権、著作権、利用権は、本市に帰属する。</w:t>
      </w:r>
    </w:p>
    <w:p/>
    <w:p>
      <w:r>
        <w:rPr>
          <w:rFonts w:hint="eastAsia"/>
        </w:rPr>
        <w:t>④打合せ</w:t>
      </w:r>
    </w:p>
    <w:p>
      <w:r>
        <w:rPr>
          <w:rFonts w:hint="eastAsia"/>
        </w:rPr>
        <w:t>　受注者は、市担当者と緊密な連携をとり、適宜、十分な打ち合わせを行うととともに、作業の途中において中間報告を求められたときは、直ちに報告を行わなければならない。なお、打ち合わせにあたっては、原則として受注者の管理責任者が立ち会うものとする。</w:t>
      </w:r>
    </w:p>
    <w:p/>
    <w:p>
      <w:r>
        <w:rPr>
          <w:rFonts w:hint="eastAsia"/>
        </w:rPr>
        <w:t>⑤業務の補償</w:t>
      </w:r>
    </w:p>
    <w:p>
      <w:r>
        <w:rPr>
          <w:rFonts w:hint="eastAsia"/>
        </w:rPr>
        <w:t>　業務完了後に受注者の責任に帰すべき理由による成果品の不良個所があった場合は、受注者は速やかに必要な訂正、補足等の措置を行うものとし、これらに対する経費は、受注者の負担とする。</w:t>
      </w:r>
    </w:p>
    <w:p/>
    <w:p>
      <w:r>
        <w:rPr>
          <w:rFonts w:hint="eastAsia"/>
        </w:rPr>
        <w:t>⑥参考資料等の貸与</w:t>
      </w:r>
    </w:p>
    <w:p>
      <w:r>
        <w:rPr>
          <w:rFonts w:hint="eastAsia"/>
        </w:rPr>
        <w:t>　本市が貸与する資料等について、受注者に無償で貸与するが、業務完了後、速やかに返却すること。</w:t>
      </w:r>
    </w:p>
    <w:p>
      <w:r>
        <w:rPr>
          <w:rFonts w:hint="eastAsia"/>
        </w:rPr>
        <w:t>　なお、万一、資料等に損害を与えた場合は、受注者が修復しなければならない。</w:t>
      </w:r>
    </w:p>
    <w:p/>
    <w:p>
      <w:r>
        <w:rPr>
          <w:rFonts w:hint="eastAsia"/>
        </w:rPr>
        <w:t>⑦参考文献等の明記</w:t>
      </w:r>
    </w:p>
    <w:p>
      <w:r>
        <w:rPr>
          <w:rFonts w:hint="eastAsia"/>
        </w:rPr>
        <w:t>　本業務に文献その他の資料を引用した場合は、当該文献、資料名を明記すること。</w:t>
      </w:r>
    </w:p>
    <w:p/>
    <w:p>
      <w:r>
        <w:rPr>
          <w:rFonts w:hint="eastAsia"/>
        </w:rPr>
        <w:t>⑧再委託の禁止</w:t>
      </w:r>
    </w:p>
    <w:p>
      <w:r>
        <w:rPr>
          <w:rFonts w:hint="eastAsia"/>
        </w:rPr>
        <w:t>　受注者は、本業務の処理を他に委託し、または請け負わせてはならない。</w:t>
      </w:r>
    </w:p>
    <w:p/>
    <w:p>
      <w:r>
        <w:rPr>
          <w:rFonts w:hint="eastAsia"/>
        </w:rPr>
        <w:t>⑨その他</w:t>
      </w:r>
    </w:p>
    <w:p>
      <w:r>
        <w:rPr>
          <w:rFonts w:hint="eastAsia"/>
        </w:rPr>
        <w:t>　この仕様書に定めのない事項について疑義のある場合は、双方協議のうえ処理するものとする。</w:t>
      </w:r>
    </w:p>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EE"/>
    <w:multiLevelType w:val="multilevel"/>
    <w:tmpl w:val="073810EE"/>
    <w:lvl w:ilvl="0" w:tentative="0">
      <w:start w:val="1"/>
      <w:numFmt w:val="decimalFullWidth"/>
      <w:lvlText w:val="（%1）"/>
      <w:lvlJc w:val="left"/>
      <w:pPr>
        <w:ind w:left="930" w:hanging="720"/>
      </w:pPr>
      <w:rPr>
        <w:rFonts w:hint="default"/>
      </w:rPr>
    </w:lvl>
    <w:lvl w:ilvl="1" w:tentative="0">
      <w:start w:val="1"/>
      <w:numFmt w:val="decimalEnclosedCircle"/>
      <w:lvlText w:val="%2"/>
      <w:lvlJc w:val="left"/>
      <w:pPr>
        <w:ind w:left="990" w:hanging="360"/>
      </w:pPr>
      <w:rPr>
        <w:rFonts w:hint="default"/>
      </w:rPr>
    </w:lvl>
    <w:lvl w:ilvl="2" w:tentative="0">
      <w:start w:val="1"/>
      <w:numFmt w:val="decimalEnclosedCircle"/>
      <w:lvlText w:val="%3"/>
      <w:lvlJc w:val="left"/>
      <w:pPr>
        <w:ind w:left="1470" w:hanging="420"/>
      </w:pPr>
    </w:lvl>
    <w:lvl w:ilvl="3" w:tentative="0">
      <w:start w:val="1"/>
      <w:numFmt w:val="decimal"/>
      <w:lvlText w:val="%4."/>
      <w:lvlJc w:val="left"/>
      <w:pPr>
        <w:ind w:left="1890" w:hanging="420"/>
      </w:pPr>
    </w:lvl>
    <w:lvl w:ilvl="4" w:tentative="0">
      <w:start w:val="1"/>
      <w:numFmt w:val="aiueoFullWidth"/>
      <w:lvlText w:val="(%5)"/>
      <w:lvlJc w:val="left"/>
      <w:pPr>
        <w:ind w:left="2310" w:hanging="420"/>
      </w:pPr>
    </w:lvl>
    <w:lvl w:ilvl="5" w:tentative="0">
      <w:start w:val="1"/>
      <w:numFmt w:val="decimalEnclosedCircle"/>
      <w:lvlText w:val="%6"/>
      <w:lvlJc w:val="left"/>
      <w:pPr>
        <w:ind w:left="2730" w:hanging="420"/>
      </w:pPr>
    </w:lvl>
    <w:lvl w:ilvl="6" w:tentative="0">
      <w:start w:val="1"/>
      <w:numFmt w:val="decimal"/>
      <w:lvlText w:val="%7."/>
      <w:lvlJc w:val="left"/>
      <w:pPr>
        <w:ind w:left="3150" w:hanging="420"/>
      </w:pPr>
    </w:lvl>
    <w:lvl w:ilvl="7" w:tentative="0">
      <w:start w:val="1"/>
      <w:numFmt w:val="aiueoFullWidth"/>
      <w:lvlText w:val="(%8)"/>
      <w:lvlJc w:val="left"/>
      <w:pPr>
        <w:ind w:left="3570" w:hanging="420"/>
      </w:pPr>
    </w:lvl>
    <w:lvl w:ilvl="8" w:tentative="0">
      <w:start w:val="1"/>
      <w:numFmt w:val="decimalEnclosedCircle"/>
      <w:lvlText w:val="%9"/>
      <w:lvlJc w:val="left"/>
      <w:pPr>
        <w:ind w:left="3990" w:hanging="420"/>
      </w:pPr>
    </w:lvl>
  </w:abstractNum>
  <w:abstractNum w:abstractNumId="1">
    <w:nsid w:val="0F154755"/>
    <w:multiLevelType w:val="multilevel"/>
    <w:tmpl w:val="0F154755"/>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2EA76CD5"/>
    <w:multiLevelType w:val="multilevel"/>
    <w:tmpl w:val="2EA76CD5"/>
    <w:lvl w:ilvl="0" w:tentative="0">
      <w:start w:val="1"/>
      <w:numFmt w:val="aiueoFullWidth"/>
      <w:lvlText w:val="（%1）"/>
      <w:lvlJc w:val="left"/>
      <w:pPr>
        <w:ind w:left="930" w:hanging="720"/>
      </w:pPr>
      <w:rPr>
        <w:rFonts w:hint="default"/>
      </w:rPr>
    </w:lvl>
    <w:lvl w:ilvl="1" w:tentative="0">
      <w:start w:val="1"/>
      <w:numFmt w:val="decimalFullWidth"/>
      <w:lvlText w:val="（%2）"/>
      <w:lvlJc w:val="left"/>
      <w:pPr>
        <w:ind w:left="1350" w:hanging="720"/>
      </w:pPr>
      <w:rPr>
        <w:rFonts w:hint="default"/>
      </w:rPr>
    </w:lvl>
    <w:lvl w:ilvl="2" w:tentative="0">
      <w:start w:val="1"/>
      <w:numFmt w:val="decimalEnclosedCircle"/>
      <w:lvlText w:val="%3"/>
      <w:lvlJc w:val="left"/>
      <w:pPr>
        <w:ind w:left="1470" w:hanging="420"/>
      </w:pPr>
    </w:lvl>
    <w:lvl w:ilvl="3" w:tentative="0">
      <w:start w:val="1"/>
      <w:numFmt w:val="decimal"/>
      <w:lvlText w:val="%4."/>
      <w:lvlJc w:val="left"/>
      <w:pPr>
        <w:ind w:left="1890" w:hanging="420"/>
      </w:pPr>
    </w:lvl>
    <w:lvl w:ilvl="4" w:tentative="0">
      <w:start w:val="1"/>
      <w:numFmt w:val="aiueoFullWidth"/>
      <w:lvlText w:val="(%5)"/>
      <w:lvlJc w:val="left"/>
      <w:pPr>
        <w:ind w:left="2310" w:hanging="420"/>
      </w:pPr>
    </w:lvl>
    <w:lvl w:ilvl="5" w:tentative="0">
      <w:start w:val="1"/>
      <w:numFmt w:val="decimalEnclosedCircle"/>
      <w:lvlText w:val="%6"/>
      <w:lvlJc w:val="left"/>
      <w:pPr>
        <w:ind w:left="2730" w:hanging="420"/>
      </w:pPr>
    </w:lvl>
    <w:lvl w:ilvl="6" w:tentative="0">
      <w:start w:val="1"/>
      <w:numFmt w:val="decimal"/>
      <w:lvlText w:val="%7."/>
      <w:lvlJc w:val="left"/>
      <w:pPr>
        <w:ind w:left="3150" w:hanging="420"/>
      </w:pPr>
    </w:lvl>
    <w:lvl w:ilvl="7" w:tentative="0">
      <w:start w:val="1"/>
      <w:numFmt w:val="aiueoFullWidth"/>
      <w:lvlText w:val="(%8)"/>
      <w:lvlJc w:val="left"/>
      <w:pPr>
        <w:ind w:left="3570" w:hanging="420"/>
      </w:pPr>
    </w:lvl>
    <w:lvl w:ilvl="8" w:tentative="0">
      <w:start w:val="1"/>
      <w:numFmt w:val="decimalEnclosedCircle"/>
      <w:lvlText w:val="%9"/>
      <w:lvlJc w:val="left"/>
      <w:pPr>
        <w:ind w:left="3990" w:hanging="420"/>
      </w:pPr>
    </w:lvl>
  </w:abstractNum>
  <w:abstractNum w:abstractNumId="3">
    <w:nsid w:val="3C6C3FE7"/>
    <w:multiLevelType w:val="multilevel"/>
    <w:tmpl w:val="3C6C3FE7"/>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4">
    <w:nsid w:val="5DAA1D47"/>
    <w:multiLevelType w:val="multilevel"/>
    <w:tmpl w:val="5DAA1D47"/>
    <w:lvl w:ilvl="0" w:tentative="0">
      <w:start w:val="1"/>
      <w:numFmt w:val="decimalFullWidth"/>
      <w:lvlText w:val="（%1）"/>
      <w:lvlJc w:val="left"/>
      <w:pPr>
        <w:ind w:left="930" w:hanging="720"/>
      </w:pPr>
      <w:rPr>
        <w:rFonts w:hint="default"/>
      </w:rPr>
    </w:lvl>
    <w:lvl w:ilvl="1" w:tentative="0">
      <w:start w:val="1"/>
      <w:numFmt w:val="aiueoFullWidth"/>
      <w:lvlText w:val="(%2)"/>
      <w:lvlJc w:val="left"/>
      <w:pPr>
        <w:ind w:left="1050" w:hanging="420"/>
      </w:pPr>
    </w:lvl>
    <w:lvl w:ilvl="2" w:tentative="0">
      <w:start w:val="1"/>
      <w:numFmt w:val="decimalEnclosedCircle"/>
      <w:lvlText w:val="%3"/>
      <w:lvlJc w:val="left"/>
      <w:pPr>
        <w:ind w:left="1470" w:hanging="420"/>
      </w:pPr>
    </w:lvl>
    <w:lvl w:ilvl="3" w:tentative="0">
      <w:start w:val="1"/>
      <w:numFmt w:val="decimal"/>
      <w:lvlText w:val="%4."/>
      <w:lvlJc w:val="left"/>
      <w:pPr>
        <w:ind w:left="1890" w:hanging="420"/>
      </w:pPr>
    </w:lvl>
    <w:lvl w:ilvl="4" w:tentative="0">
      <w:start w:val="1"/>
      <w:numFmt w:val="aiueoFullWidth"/>
      <w:lvlText w:val="(%5)"/>
      <w:lvlJc w:val="left"/>
      <w:pPr>
        <w:ind w:left="2310" w:hanging="420"/>
      </w:pPr>
    </w:lvl>
    <w:lvl w:ilvl="5" w:tentative="0">
      <w:start w:val="1"/>
      <w:numFmt w:val="decimalEnclosedCircle"/>
      <w:lvlText w:val="%6"/>
      <w:lvlJc w:val="left"/>
      <w:pPr>
        <w:ind w:left="2730" w:hanging="420"/>
      </w:pPr>
    </w:lvl>
    <w:lvl w:ilvl="6" w:tentative="0">
      <w:start w:val="1"/>
      <w:numFmt w:val="decimal"/>
      <w:lvlText w:val="%7."/>
      <w:lvlJc w:val="left"/>
      <w:pPr>
        <w:ind w:left="3150" w:hanging="420"/>
      </w:pPr>
    </w:lvl>
    <w:lvl w:ilvl="7" w:tentative="0">
      <w:start w:val="1"/>
      <w:numFmt w:val="aiueoFullWidth"/>
      <w:lvlText w:val="(%8)"/>
      <w:lvlJc w:val="left"/>
      <w:pPr>
        <w:ind w:left="3570" w:hanging="420"/>
      </w:pPr>
    </w:lvl>
    <w:lvl w:ilvl="8" w:tentative="0">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90"/>
    <w:rsid w:val="00002736"/>
    <w:rsid w:val="0007344F"/>
    <w:rsid w:val="001141BA"/>
    <w:rsid w:val="001654CF"/>
    <w:rsid w:val="00182E1E"/>
    <w:rsid w:val="00184111"/>
    <w:rsid w:val="001C1299"/>
    <w:rsid w:val="001C24E5"/>
    <w:rsid w:val="001E6DD1"/>
    <w:rsid w:val="00214924"/>
    <w:rsid w:val="002F55ED"/>
    <w:rsid w:val="00303905"/>
    <w:rsid w:val="0031566F"/>
    <w:rsid w:val="0032387E"/>
    <w:rsid w:val="003277D9"/>
    <w:rsid w:val="0034204D"/>
    <w:rsid w:val="0039014E"/>
    <w:rsid w:val="00397A26"/>
    <w:rsid w:val="003D72AA"/>
    <w:rsid w:val="00412F6E"/>
    <w:rsid w:val="0041667B"/>
    <w:rsid w:val="004D675F"/>
    <w:rsid w:val="004E2CFE"/>
    <w:rsid w:val="004E40A1"/>
    <w:rsid w:val="00512C90"/>
    <w:rsid w:val="00556194"/>
    <w:rsid w:val="005605A7"/>
    <w:rsid w:val="005B4B62"/>
    <w:rsid w:val="005F6D99"/>
    <w:rsid w:val="00612D23"/>
    <w:rsid w:val="006327EA"/>
    <w:rsid w:val="00687E37"/>
    <w:rsid w:val="006A2F5A"/>
    <w:rsid w:val="006B5A55"/>
    <w:rsid w:val="007A06F3"/>
    <w:rsid w:val="007C39EC"/>
    <w:rsid w:val="008116C9"/>
    <w:rsid w:val="00815286"/>
    <w:rsid w:val="00840642"/>
    <w:rsid w:val="00885CEE"/>
    <w:rsid w:val="00987195"/>
    <w:rsid w:val="00991281"/>
    <w:rsid w:val="00A75687"/>
    <w:rsid w:val="00AA535C"/>
    <w:rsid w:val="00AC1602"/>
    <w:rsid w:val="00B15AA3"/>
    <w:rsid w:val="00C732E5"/>
    <w:rsid w:val="00CC45DA"/>
    <w:rsid w:val="00D136FA"/>
    <w:rsid w:val="00DC05E3"/>
    <w:rsid w:val="00E60C66"/>
    <w:rsid w:val="00EF5CE8"/>
    <w:rsid w:val="00FD178D"/>
    <w:rsid w:val="2CBA03E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style>
  <w:style w:type="paragraph" w:styleId="3">
    <w:name w:val="footer"/>
    <w:basedOn w:val="1"/>
    <w:link w:val="14"/>
    <w:unhideWhenUsed/>
    <w:uiPriority w:val="99"/>
    <w:pPr>
      <w:tabs>
        <w:tab w:val="center" w:pos="4252"/>
        <w:tab w:val="right" w:pos="8504"/>
      </w:tabs>
      <w:snapToGrid w:val="0"/>
    </w:pPr>
  </w:style>
  <w:style w:type="paragraph" w:styleId="4">
    <w:name w:val="annotation text"/>
    <w:basedOn w:val="1"/>
    <w:link w:val="15"/>
    <w:unhideWhenUsed/>
    <w:uiPriority w:val="99"/>
    <w:pPr>
      <w:jc w:val="left"/>
    </w:pPr>
  </w:style>
  <w:style w:type="paragraph" w:styleId="5">
    <w:name w:val="annotation subject"/>
    <w:basedOn w:val="4"/>
    <w:next w:val="4"/>
    <w:link w:val="16"/>
    <w:unhideWhenUsed/>
    <w:uiPriority w:val="99"/>
    <w:rPr>
      <w:b/>
      <w:bCs/>
    </w:rPr>
  </w:style>
  <w:style w:type="paragraph" w:styleId="6">
    <w:name w:val="Balloon Text"/>
    <w:basedOn w:val="1"/>
    <w:link w:val="17"/>
    <w:unhideWhenUsed/>
    <w:uiPriority w:val="99"/>
    <w:rPr>
      <w:rFonts w:asciiTheme="majorHAnsi" w:hAnsiTheme="majorHAnsi" w:eastAsiaTheme="majorEastAsia" w:cstheme="majorBidi"/>
      <w:sz w:val="18"/>
      <w:szCs w:val="18"/>
    </w:rPr>
  </w:style>
  <w:style w:type="paragraph" w:styleId="7">
    <w:name w:val="header"/>
    <w:basedOn w:val="1"/>
    <w:link w:val="13"/>
    <w:unhideWhenUsed/>
    <w:uiPriority w:val="99"/>
    <w:pPr>
      <w:tabs>
        <w:tab w:val="center" w:pos="4252"/>
        <w:tab w:val="right" w:pos="8504"/>
      </w:tabs>
      <w:snapToGrid w:val="0"/>
    </w:pPr>
  </w:style>
  <w:style w:type="character" w:styleId="9">
    <w:name w:val="annotation reference"/>
    <w:basedOn w:val="8"/>
    <w:unhideWhenUsed/>
    <w:uiPriority w:val="99"/>
    <w:rPr>
      <w:sz w:val="18"/>
      <w:szCs w:val="18"/>
    </w:rPr>
  </w:style>
  <w:style w:type="character" w:customStyle="1" w:styleId="11">
    <w:name w:val="日付 (文字)"/>
    <w:basedOn w:val="8"/>
    <w:link w:val="2"/>
    <w:semiHidden/>
    <w:uiPriority w:val="99"/>
  </w:style>
  <w:style w:type="paragraph" w:customStyle="1" w:styleId="12">
    <w:name w:val="List Paragraph"/>
    <w:basedOn w:val="1"/>
    <w:qFormat/>
    <w:uiPriority w:val="34"/>
    <w:pPr>
      <w:ind w:left="840" w:leftChars="400"/>
    </w:pPr>
  </w:style>
  <w:style w:type="character" w:customStyle="1" w:styleId="13">
    <w:name w:val="ヘッダー (文字)"/>
    <w:basedOn w:val="8"/>
    <w:link w:val="7"/>
    <w:uiPriority w:val="99"/>
  </w:style>
  <w:style w:type="character" w:customStyle="1" w:styleId="14">
    <w:name w:val="フッター (文字)"/>
    <w:basedOn w:val="8"/>
    <w:link w:val="3"/>
    <w:uiPriority w:val="99"/>
  </w:style>
  <w:style w:type="character" w:customStyle="1" w:styleId="15">
    <w:name w:val="コメント文字列 (文字)"/>
    <w:basedOn w:val="8"/>
    <w:link w:val="4"/>
    <w:semiHidden/>
    <w:uiPriority w:val="99"/>
  </w:style>
  <w:style w:type="character" w:customStyle="1" w:styleId="16">
    <w:name w:val="コメント内容 (文字)"/>
    <w:basedOn w:val="15"/>
    <w:link w:val="5"/>
    <w:semiHidden/>
    <w:uiPriority w:val="99"/>
    <w:rPr>
      <w:b/>
      <w:bCs/>
    </w:rPr>
  </w:style>
  <w:style w:type="character" w:customStyle="1" w:styleId="17">
    <w:name w:val="吹き出し (文字)"/>
    <w:basedOn w:val="8"/>
    <w:link w:val="6"/>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404</Words>
  <Characters>2303</Characters>
  <Lines>19</Lines>
  <Paragraphs>5</Paragraphs>
  <TotalTime>0</TotalTime>
  <ScaleCrop>false</ScaleCrop>
  <LinksUpToDate>false</LinksUpToDate>
  <CharactersWithSpaces>2702</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2020-05-13T01:13:00Z</dcterms:created>
  <dc:creator>亀田　幸周</dc:creator>
  <cp:lastModifiedBy>zaisei</cp:lastModifiedBy>
  <dcterms:modified xsi:type="dcterms:W3CDTF">2020-06-26T00:20:03Z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