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E3" w:rsidRPr="00E92218" w:rsidRDefault="008E0CE3" w:rsidP="008E0CE3">
      <w:pPr>
        <w:jc w:val="center"/>
        <w:rPr>
          <w:rFonts w:asciiTheme="majorEastAsia" w:eastAsiaTheme="majorEastAsia" w:hAnsiTheme="majorEastAsia"/>
          <w:b/>
          <w:sz w:val="24"/>
        </w:rPr>
      </w:pPr>
      <w:r w:rsidRPr="00E92218">
        <w:rPr>
          <w:rFonts w:asciiTheme="majorEastAsia" w:eastAsiaTheme="majorEastAsia" w:hAnsiTheme="majorEastAsia"/>
          <w:b/>
          <w:sz w:val="24"/>
        </w:rPr>
        <w:t>緊急地震速報訓練行動チェックシート</w:t>
      </w:r>
    </w:p>
    <w:p w:rsidR="008E0CE3" w:rsidRPr="00753297" w:rsidRDefault="008E0CE3" w:rsidP="008E0CE3">
      <w:pPr>
        <w:rPr>
          <w:rFonts w:asciiTheme="majorEastAsia" w:eastAsiaTheme="majorEastAsia" w:hAnsiTheme="majorEastAsia"/>
          <w:szCs w:val="21"/>
        </w:rPr>
      </w:pPr>
    </w:p>
    <w:p w:rsidR="008E0CE3" w:rsidRPr="00753297" w:rsidRDefault="008E0CE3" w:rsidP="008E0CE3">
      <w:pPr>
        <w:ind w:firstLineChars="100" w:firstLine="210"/>
        <w:rPr>
          <w:rFonts w:asciiTheme="majorEastAsia" w:eastAsiaTheme="majorEastAsia" w:hAnsiTheme="majorEastAsia"/>
          <w:szCs w:val="21"/>
        </w:rPr>
      </w:pPr>
      <w:r w:rsidRPr="00753297">
        <w:rPr>
          <w:rFonts w:asciiTheme="majorEastAsia" w:eastAsiaTheme="majorEastAsia" w:hAnsiTheme="majorEastAsia"/>
          <w:szCs w:val="21"/>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p>
    <w:p w:rsidR="008E0CE3" w:rsidRPr="00753297" w:rsidRDefault="008E0CE3" w:rsidP="00E92218">
      <w:pPr>
        <w:ind w:firstLineChars="100" w:firstLine="210"/>
        <w:rPr>
          <w:rFonts w:asciiTheme="majorEastAsia" w:eastAsiaTheme="majorEastAsia" w:hAnsiTheme="majorEastAsia"/>
          <w:szCs w:val="21"/>
        </w:rPr>
      </w:pPr>
      <w:r w:rsidRPr="00753297">
        <w:rPr>
          <w:rFonts w:asciiTheme="majorEastAsia" w:eastAsiaTheme="majorEastAsia" w:hAnsiTheme="majorEastAsia"/>
          <w:szCs w:val="21"/>
        </w:rPr>
        <w:t>地震の揺れから身を守るには、その場所や状況に合わせてあわてずに行動する必要があります。</w:t>
      </w:r>
    </w:p>
    <w:p w:rsidR="008E0CE3" w:rsidRPr="00753297" w:rsidRDefault="008E0CE3" w:rsidP="008E0CE3">
      <w:pPr>
        <w:ind w:firstLineChars="100" w:firstLine="210"/>
        <w:rPr>
          <w:rFonts w:asciiTheme="majorEastAsia" w:eastAsiaTheme="majorEastAsia" w:hAnsiTheme="majorEastAsia"/>
          <w:szCs w:val="21"/>
        </w:rPr>
      </w:pPr>
      <w:r w:rsidRPr="00753297">
        <w:rPr>
          <w:rFonts w:asciiTheme="majorEastAsia" w:eastAsiaTheme="majorEastAsia" w:hAnsiTheme="majorEastAsia"/>
          <w:szCs w:val="21"/>
        </w:rPr>
        <w:t>訓練に参加される皆様はこの「緊急地震速報訓練行動チェックシート」をご利用いただき、訓練時に適切な行動をとることができたかご確認ください。</w:t>
      </w:r>
    </w:p>
    <w:p w:rsidR="008E0CE3" w:rsidRPr="00753297" w:rsidRDefault="008E0CE3" w:rsidP="008E0CE3">
      <w:pPr>
        <w:ind w:firstLineChars="100" w:firstLine="210"/>
        <w:rPr>
          <w:rFonts w:asciiTheme="majorEastAsia" w:eastAsiaTheme="majorEastAsia" w:hAnsiTheme="majorEastAsia"/>
          <w:szCs w:val="21"/>
        </w:rPr>
      </w:pPr>
    </w:p>
    <w:p w:rsidR="008E0CE3" w:rsidRPr="00753297" w:rsidRDefault="008E0CE3" w:rsidP="008E0CE3">
      <w:pPr>
        <w:ind w:firstLineChars="100" w:firstLine="241"/>
        <w:rPr>
          <w:rFonts w:asciiTheme="majorEastAsia" w:eastAsiaTheme="majorEastAsia" w:hAnsiTheme="majorEastAsia"/>
          <w:b/>
          <w:sz w:val="10"/>
          <w:szCs w:val="21"/>
        </w:rPr>
      </w:pPr>
      <w:r w:rsidRPr="00753297">
        <w:rPr>
          <w:rFonts w:asciiTheme="majorEastAsia" w:eastAsiaTheme="majorEastAsia" w:hAnsiTheme="majorEastAsia"/>
          <w:b/>
          <w:sz w:val="24"/>
          <w:szCs w:val="21"/>
        </w:rPr>
        <w:t>・訓練開始前の確認事項</w:t>
      </w:r>
    </w:p>
    <w:p w:rsidR="008E0CE3" w:rsidRPr="00753297" w:rsidRDefault="008E0CE3" w:rsidP="008E0CE3">
      <w:pPr>
        <w:ind w:firstLineChars="100" w:firstLine="210"/>
        <w:rPr>
          <w:rFonts w:asciiTheme="majorEastAsia" w:eastAsiaTheme="majorEastAsia" w:hAnsiTheme="majorEastAsia"/>
          <w:szCs w:val="21"/>
        </w:rPr>
      </w:pPr>
      <w:r w:rsidRPr="00753297">
        <w:rPr>
          <w:rFonts w:asciiTheme="majorEastAsia" w:eastAsiaTheme="majorEastAsia" w:hAnsiTheme="majorEastAsia"/>
          <w:szCs w:val="21"/>
        </w:rPr>
        <w:t>様々な状況で、緊急地震速報を受けた場合に安全な行動がとれるか確認します。</w:t>
      </w:r>
    </w:p>
    <w:p w:rsidR="008E0CE3" w:rsidRPr="00753297" w:rsidRDefault="008E0CE3" w:rsidP="008E0CE3">
      <w:pPr>
        <w:ind w:firstLineChars="100" w:firstLine="210"/>
        <w:rPr>
          <w:rFonts w:asciiTheme="majorEastAsia" w:eastAsiaTheme="majorEastAsia" w:hAnsiTheme="majorEastAsia"/>
          <w:szCs w:val="21"/>
        </w:rPr>
      </w:pPr>
      <w:r w:rsidRPr="00753297">
        <w:rPr>
          <w:rFonts w:asciiTheme="majorEastAsia" w:eastAsiaTheme="majorEastAsia" w:hAnsiTheme="majorEastAsia"/>
          <w:szCs w:val="21"/>
        </w:rPr>
        <w:t>※安全な場所については訓練時の場所に関わらず両方をご確認ください。</w:t>
      </w:r>
    </w:p>
    <w:tbl>
      <w:tblPr>
        <w:tblStyle w:val="a3"/>
        <w:tblW w:w="0" w:type="auto"/>
        <w:tblLook w:val="04A0" w:firstRow="1" w:lastRow="0" w:firstColumn="1" w:lastColumn="0" w:noHBand="0" w:noVBand="1"/>
      </w:tblPr>
      <w:tblGrid>
        <w:gridCol w:w="8062"/>
        <w:gridCol w:w="1225"/>
      </w:tblGrid>
      <w:tr w:rsidR="00F63091" w:rsidRPr="00753297" w:rsidTr="00F63091">
        <w:tc>
          <w:tcPr>
            <w:tcW w:w="8062" w:type="dxa"/>
          </w:tcPr>
          <w:p w:rsidR="00F63091" w:rsidRPr="00753297" w:rsidRDefault="00F63091" w:rsidP="00F63091">
            <w:pPr>
              <w:rPr>
                <w:rFonts w:asciiTheme="majorEastAsia" w:eastAsiaTheme="majorEastAsia" w:hAnsiTheme="majorEastAsia"/>
                <w:szCs w:val="21"/>
              </w:rPr>
            </w:pPr>
            <w:r w:rsidRPr="00753297">
              <w:rPr>
                <w:rFonts w:asciiTheme="majorEastAsia" w:eastAsiaTheme="majorEastAsia" w:hAnsiTheme="majorEastAsia"/>
                <w:szCs w:val="21"/>
              </w:rPr>
              <w:t>訓練用の緊急地震速報を受け取る手段を把握している</w:t>
            </w:r>
          </w:p>
          <w:p w:rsidR="00F63091" w:rsidRPr="00753297" w:rsidRDefault="00F63091" w:rsidP="00F63091">
            <w:pPr>
              <w:rPr>
                <w:rFonts w:asciiTheme="majorEastAsia" w:eastAsiaTheme="majorEastAsia" w:hAnsiTheme="majorEastAsia"/>
                <w:szCs w:val="21"/>
              </w:rPr>
            </w:pPr>
            <w:r w:rsidRPr="00753297">
              <w:rPr>
                <w:rFonts w:asciiTheme="majorEastAsia" w:eastAsiaTheme="majorEastAsia" w:hAnsiTheme="majorEastAsia"/>
                <w:szCs w:val="21"/>
              </w:rPr>
              <w:t>例）職場の館内放送、自宅の受信端末、防災行政無線など</w:t>
            </w:r>
          </w:p>
        </w:tc>
        <w:tc>
          <w:tcPr>
            <w:tcW w:w="1225" w:type="dxa"/>
            <w:vAlign w:val="center"/>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r w:rsidR="00F63091" w:rsidRPr="00753297" w:rsidTr="00F63091">
        <w:tc>
          <w:tcPr>
            <w:tcW w:w="8062" w:type="dxa"/>
          </w:tcPr>
          <w:p w:rsidR="00F63091" w:rsidRPr="00753297" w:rsidRDefault="00F63091" w:rsidP="00F63091">
            <w:pPr>
              <w:rPr>
                <w:rFonts w:asciiTheme="majorEastAsia" w:eastAsiaTheme="majorEastAsia" w:hAnsiTheme="majorEastAsia"/>
                <w:szCs w:val="21"/>
              </w:rPr>
            </w:pPr>
            <w:r w:rsidRPr="00753297">
              <w:rPr>
                <w:rFonts w:asciiTheme="majorEastAsia" w:eastAsiaTheme="majorEastAsia" w:hAnsiTheme="majorEastAsia"/>
                <w:szCs w:val="21"/>
              </w:rPr>
              <w:t>屋内の安全な場所の確認</w:t>
            </w:r>
          </w:p>
          <w:p w:rsidR="00F63091" w:rsidRPr="00753297" w:rsidRDefault="00F63091" w:rsidP="00F63091">
            <w:pPr>
              <w:ind w:left="420" w:hangingChars="200" w:hanging="420"/>
              <w:rPr>
                <w:rFonts w:asciiTheme="majorEastAsia" w:eastAsiaTheme="majorEastAsia" w:hAnsiTheme="majorEastAsia"/>
                <w:szCs w:val="21"/>
              </w:rPr>
            </w:pPr>
            <w:r w:rsidRPr="00753297">
              <w:rPr>
                <w:rFonts w:asciiTheme="majorEastAsia" w:eastAsiaTheme="majorEastAsia" w:hAnsiTheme="majorEastAsia"/>
                <w:szCs w:val="21"/>
              </w:rPr>
              <w:t>例）下にもぐりこめる丈夫な机がある、周辺に落ちてきそうなものや倒れそうな家具が</w:t>
            </w:r>
            <w:r>
              <w:rPr>
                <w:rFonts w:asciiTheme="majorEastAsia" w:eastAsiaTheme="majorEastAsia" w:hAnsiTheme="majorEastAsia"/>
                <w:szCs w:val="21"/>
              </w:rPr>
              <w:t>無い場所がある</w:t>
            </w:r>
            <w:r w:rsidRPr="00753297">
              <w:rPr>
                <w:rFonts w:asciiTheme="majorEastAsia" w:eastAsiaTheme="majorEastAsia" w:hAnsiTheme="majorEastAsia"/>
                <w:szCs w:val="21"/>
              </w:rPr>
              <w:t>等、安全な場所を確認</w:t>
            </w:r>
          </w:p>
        </w:tc>
        <w:tc>
          <w:tcPr>
            <w:tcW w:w="1225" w:type="dxa"/>
            <w:vAlign w:val="center"/>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r w:rsidR="00F63091" w:rsidRPr="00753297" w:rsidTr="00F63091">
        <w:tc>
          <w:tcPr>
            <w:tcW w:w="8062" w:type="dxa"/>
          </w:tcPr>
          <w:p w:rsidR="00F63091" w:rsidRPr="00753297" w:rsidRDefault="00F63091" w:rsidP="00F63091">
            <w:pPr>
              <w:rPr>
                <w:rFonts w:asciiTheme="majorEastAsia" w:eastAsiaTheme="majorEastAsia" w:hAnsiTheme="majorEastAsia"/>
                <w:szCs w:val="21"/>
              </w:rPr>
            </w:pPr>
            <w:r w:rsidRPr="00753297">
              <w:rPr>
                <w:rFonts w:asciiTheme="majorEastAsia" w:eastAsiaTheme="majorEastAsia" w:hAnsiTheme="majorEastAsia" w:hint="eastAsia"/>
                <w:szCs w:val="21"/>
              </w:rPr>
              <w:t>屋外等の安全な場所の確認</w:t>
            </w:r>
          </w:p>
          <w:p w:rsidR="00F63091" w:rsidRPr="00753297" w:rsidRDefault="00F63091" w:rsidP="00F63091">
            <w:pPr>
              <w:rPr>
                <w:rFonts w:asciiTheme="majorEastAsia" w:eastAsiaTheme="majorEastAsia" w:hAnsiTheme="majorEastAsia"/>
                <w:szCs w:val="21"/>
              </w:rPr>
            </w:pPr>
            <w:r w:rsidRPr="00753297">
              <w:rPr>
                <w:rFonts w:asciiTheme="majorEastAsia" w:eastAsiaTheme="majorEastAsia" w:hAnsiTheme="majorEastAsia"/>
                <w:szCs w:val="21"/>
              </w:rPr>
              <w:t>例）外出時に普段歩いているところに倒れそうなものなど危険な場所がないか確認</w:t>
            </w:r>
          </w:p>
        </w:tc>
        <w:tc>
          <w:tcPr>
            <w:tcW w:w="1225" w:type="dxa"/>
            <w:vAlign w:val="center"/>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r w:rsidR="00F63091" w:rsidRPr="00753297" w:rsidTr="00F63091">
        <w:trPr>
          <w:trHeight w:val="1901"/>
        </w:trPr>
        <w:tc>
          <w:tcPr>
            <w:tcW w:w="8062" w:type="dxa"/>
          </w:tcPr>
          <w:p w:rsidR="00F63091" w:rsidRDefault="00F63091" w:rsidP="00F63091">
            <w:pPr>
              <w:rPr>
                <w:rFonts w:asciiTheme="majorEastAsia" w:eastAsiaTheme="majorEastAsia" w:hAnsiTheme="majorEastAsia"/>
                <w:szCs w:val="21"/>
              </w:rPr>
            </w:pPr>
            <w:r>
              <w:rPr>
                <w:rFonts w:asciiTheme="majorEastAsia" w:eastAsiaTheme="majorEastAsia" w:hAnsiTheme="majorEastAsia" w:hint="eastAsia"/>
                <w:szCs w:val="21"/>
              </w:rPr>
              <w:t>訓練時に必要な行動について理解している</w:t>
            </w:r>
          </w:p>
          <w:p w:rsidR="00F63091" w:rsidRPr="00753297" w:rsidRDefault="00F63091" w:rsidP="00F63091">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9504" behindDoc="0" locked="0" layoutInCell="1" allowOverlap="1" wp14:anchorId="6258F3AB" wp14:editId="0988CC17">
                      <wp:simplePos x="0" y="0"/>
                      <wp:positionH relativeFrom="column">
                        <wp:posOffset>8890</wp:posOffset>
                      </wp:positionH>
                      <wp:positionV relativeFrom="paragraph">
                        <wp:posOffset>254635</wp:posOffset>
                      </wp:positionV>
                      <wp:extent cx="47529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752975" cy="6572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3091" w:rsidRDefault="00F63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58F3AB" id="_x0000_t202" coordsize="21600,21600" o:spt="202" path="m,l,21600r21600,l21600,xe">
                      <v:stroke joinstyle="miter"/>
                      <v:path gradientshapeok="t" o:connecttype="rect"/>
                    </v:shapetype>
                    <v:shape id="テキスト ボックス 1" o:spid="_x0000_s1026" type="#_x0000_t202" style="position:absolute;left:0;text-align:left;margin-left:.7pt;margin-top:20.05pt;width:374.2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" fillcolor="white [3201]" strokeweight="1.5pt">
                      <v:textbox>
                        <w:txbxContent>
                          <w:p w:rsidR="00F63091" w:rsidRDefault="00F63091"/>
                        </w:txbxContent>
                      </v:textbox>
                    </v:shape>
                  </w:pict>
                </mc:Fallback>
              </mc:AlternateContent>
            </w:r>
            <w:r>
              <w:rPr>
                <w:rFonts w:asciiTheme="majorEastAsia" w:eastAsiaTheme="majorEastAsia" w:hAnsiTheme="majorEastAsia"/>
                <w:szCs w:val="21"/>
              </w:rPr>
              <w:t xml:space="preserve">　必要な行動をお書きください（いくつでも可）</w:t>
            </w:r>
          </w:p>
        </w:tc>
        <w:tc>
          <w:tcPr>
            <w:tcW w:w="1225" w:type="dxa"/>
            <w:vAlign w:val="center"/>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bl>
    <w:p w:rsidR="00E92218" w:rsidRDefault="00753297" w:rsidP="00753297">
      <w:pPr>
        <w:rPr>
          <w:rFonts w:asciiTheme="majorEastAsia" w:eastAsiaTheme="majorEastAsia" w:hAnsiTheme="majorEastAsia"/>
          <w:szCs w:val="21"/>
        </w:rPr>
      </w:pPr>
      <w:r>
        <w:rPr>
          <w:rFonts w:asciiTheme="majorEastAsia" w:eastAsiaTheme="majorEastAsia" w:hAnsiTheme="majorEastAsia"/>
          <w:szCs w:val="21"/>
        </w:rPr>
        <w:t>※空欄（太枠）には訓練時の状況に応じて必要な行動を記入し、その行動がとれたか確認しましょう。</w:t>
      </w:r>
    </w:p>
    <w:p w:rsidR="00E92218" w:rsidRDefault="00E92218" w:rsidP="00E92218">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31750</wp:posOffset>
                </wp:positionV>
                <wp:extent cx="600075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rgbClr val="00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D5ED6" id="直線コネクタ 6" o:spid="_x0000_s1026" style="position:absolute;left:0;text-align:left;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" strokeweight=".5pt">
                <v:stroke dashstyle="longDash" joinstyle="miter"/>
                <w10:wrap anchorx="margin"/>
              </v:line>
            </w:pict>
          </mc:Fallback>
        </mc:AlternateContent>
      </w:r>
    </w:p>
    <w:p w:rsidR="00E92218" w:rsidRDefault="00E92218" w:rsidP="00E92218">
      <w:pPr>
        <w:rPr>
          <w:rFonts w:asciiTheme="majorEastAsia" w:eastAsiaTheme="majorEastAsia" w:hAnsiTheme="majorEastAsia"/>
          <w:b/>
          <w:sz w:val="24"/>
          <w:szCs w:val="21"/>
        </w:rPr>
      </w:pPr>
      <w:r w:rsidRPr="00E92218">
        <w:rPr>
          <w:rFonts w:asciiTheme="majorEastAsia" w:eastAsiaTheme="majorEastAsia" w:hAnsiTheme="majorEastAsia" w:hint="eastAsia"/>
          <w:b/>
          <w:sz w:val="24"/>
          <w:szCs w:val="21"/>
        </w:rPr>
        <w:t>・訓練後の確認事項</w:t>
      </w:r>
    </w:p>
    <w:p w:rsidR="00E92218" w:rsidRDefault="00E92218" w:rsidP="00E92218">
      <w:pPr>
        <w:rPr>
          <w:rFonts w:asciiTheme="majorEastAsia" w:eastAsiaTheme="majorEastAsia" w:hAnsiTheme="majorEastAsia"/>
          <w:szCs w:val="21"/>
        </w:rPr>
      </w:pPr>
      <w:r w:rsidRPr="00E92218">
        <w:rPr>
          <w:rFonts w:asciiTheme="majorEastAsia" w:eastAsiaTheme="majorEastAsia" w:hAnsiTheme="majorEastAsia" w:hint="eastAsia"/>
          <w:szCs w:val="21"/>
        </w:rPr>
        <w:t>訓練時の緊急地震速報を受けた場合に安全な行動がとれたかを確認します。</w:t>
      </w:r>
    </w:p>
    <w:tbl>
      <w:tblPr>
        <w:tblStyle w:val="a3"/>
        <w:tblW w:w="0" w:type="auto"/>
        <w:tblLook w:val="04A0" w:firstRow="1" w:lastRow="0" w:firstColumn="1" w:lastColumn="0" w:noHBand="0" w:noVBand="1"/>
      </w:tblPr>
      <w:tblGrid>
        <w:gridCol w:w="8075"/>
        <w:gridCol w:w="1212"/>
      </w:tblGrid>
      <w:tr w:rsidR="00E92218" w:rsidTr="00F63091">
        <w:trPr>
          <w:trHeight w:val="735"/>
        </w:trPr>
        <w:tc>
          <w:tcPr>
            <w:tcW w:w="8075" w:type="dxa"/>
            <w:vAlign w:val="center"/>
          </w:tcPr>
          <w:p w:rsidR="00E92218" w:rsidRDefault="00E92218" w:rsidP="00E92218">
            <w:pPr>
              <w:jc w:val="left"/>
              <w:rPr>
                <w:rFonts w:asciiTheme="majorEastAsia" w:eastAsiaTheme="majorEastAsia" w:hAnsiTheme="majorEastAsia"/>
                <w:szCs w:val="21"/>
              </w:rPr>
            </w:pPr>
            <w:r>
              <w:rPr>
                <w:rFonts w:asciiTheme="majorEastAsia" w:eastAsiaTheme="majorEastAsia" w:hAnsiTheme="majorEastAsia"/>
                <w:szCs w:val="21"/>
              </w:rPr>
              <w:t>訓練用の緊急地震速報を受け取れた（聞けた）</w:t>
            </w:r>
          </w:p>
        </w:tc>
        <w:tc>
          <w:tcPr>
            <w:tcW w:w="1212" w:type="dxa"/>
          </w:tcPr>
          <w:p w:rsidR="00E92218"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r w:rsidR="00F63091" w:rsidTr="00F63091">
        <w:trPr>
          <w:trHeight w:val="689"/>
        </w:trPr>
        <w:tc>
          <w:tcPr>
            <w:tcW w:w="8075" w:type="dxa"/>
            <w:vAlign w:val="center"/>
          </w:tcPr>
          <w:p w:rsidR="00F63091" w:rsidRDefault="00F63091" w:rsidP="00F63091">
            <w:pPr>
              <w:jc w:val="left"/>
              <w:rPr>
                <w:rFonts w:asciiTheme="majorEastAsia" w:eastAsiaTheme="majorEastAsia" w:hAnsiTheme="majorEastAsia"/>
                <w:szCs w:val="21"/>
              </w:rPr>
            </w:pPr>
            <w:r>
              <w:rPr>
                <w:rFonts w:asciiTheme="majorEastAsia" w:eastAsiaTheme="majorEastAsia" w:hAnsiTheme="majorEastAsia"/>
                <w:szCs w:val="21"/>
              </w:rPr>
              <w:t>あわてずに身の安全を確保できた</w:t>
            </w:r>
          </w:p>
        </w:tc>
        <w:tc>
          <w:tcPr>
            <w:tcW w:w="1212" w:type="dxa"/>
          </w:tcPr>
          <w:p w:rsidR="00F63091" w:rsidRDefault="00F63091" w:rsidP="00F63091">
            <w:pPr>
              <w:jc w:val="center"/>
              <w:rPr>
                <w:rFonts w:asciiTheme="majorEastAsia" w:eastAsiaTheme="majorEastAsia" w:hAnsiTheme="majorEastAsia" w:hint="eastAsia"/>
                <w:szCs w:val="21"/>
              </w:rPr>
            </w:pPr>
            <w:bookmarkStart w:id="0" w:name="_GoBack"/>
            <w:bookmarkEnd w:id="0"/>
            <w:r w:rsidRPr="00F63091">
              <w:rPr>
                <w:rFonts w:asciiTheme="majorEastAsia" w:eastAsiaTheme="majorEastAsia" w:hAnsiTheme="majorEastAsia"/>
                <w:sz w:val="52"/>
                <w:szCs w:val="21"/>
              </w:rPr>
              <w:t>□</w:t>
            </w:r>
          </w:p>
        </w:tc>
      </w:tr>
      <w:tr w:rsidR="00F63091" w:rsidTr="00F63091">
        <w:trPr>
          <w:trHeight w:val="713"/>
        </w:trPr>
        <w:tc>
          <w:tcPr>
            <w:tcW w:w="8075" w:type="dxa"/>
            <w:vAlign w:val="center"/>
          </w:tcPr>
          <w:p w:rsidR="00F63091" w:rsidRDefault="00F63091" w:rsidP="00F63091">
            <w:pPr>
              <w:jc w:val="left"/>
              <w:rPr>
                <w:rFonts w:asciiTheme="majorEastAsia" w:eastAsiaTheme="majorEastAsia" w:hAnsiTheme="majorEastAsia"/>
                <w:szCs w:val="21"/>
              </w:rPr>
            </w:pPr>
            <w:r>
              <w:rPr>
                <w:rFonts w:asciiTheme="majorEastAsia" w:eastAsiaTheme="majorEastAsia" w:hAnsiTheme="majorEastAsia" w:hint="eastAsia"/>
                <w:szCs w:val="21"/>
              </w:rPr>
              <w:t>安全な場所に避難できた（そのまま留まることができた）</w:t>
            </w:r>
          </w:p>
        </w:tc>
        <w:tc>
          <w:tcPr>
            <w:tcW w:w="1212" w:type="dxa"/>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r w:rsidR="00F63091" w:rsidTr="00F63091">
        <w:trPr>
          <w:trHeight w:val="695"/>
        </w:trPr>
        <w:tc>
          <w:tcPr>
            <w:tcW w:w="8075" w:type="dxa"/>
            <w:vAlign w:val="center"/>
          </w:tcPr>
          <w:p w:rsidR="00F63091" w:rsidRPr="00E92218" w:rsidRDefault="00F63091" w:rsidP="00F63091">
            <w:pPr>
              <w:jc w:val="left"/>
              <w:rPr>
                <w:rFonts w:asciiTheme="majorEastAsia" w:eastAsiaTheme="majorEastAsia" w:hAnsiTheme="majorEastAsia"/>
                <w:szCs w:val="21"/>
              </w:rPr>
            </w:pPr>
            <w:r>
              <w:rPr>
                <w:rFonts w:asciiTheme="majorEastAsia" w:eastAsiaTheme="majorEastAsia" w:hAnsiTheme="majorEastAsia" w:hint="eastAsia"/>
                <w:szCs w:val="21"/>
              </w:rPr>
              <w:t>訓練前に決めた必要な行動がとれた</w:t>
            </w:r>
          </w:p>
        </w:tc>
        <w:tc>
          <w:tcPr>
            <w:tcW w:w="1212" w:type="dxa"/>
          </w:tcPr>
          <w:p w:rsidR="00F63091" w:rsidRDefault="00F63091" w:rsidP="00F63091">
            <w:pPr>
              <w:jc w:val="center"/>
              <w:rPr>
                <w:rFonts w:asciiTheme="majorEastAsia" w:eastAsiaTheme="majorEastAsia" w:hAnsiTheme="majorEastAsia" w:hint="eastAsia"/>
                <w:szCs w:val="21"/>
              </w:rPr>
            </w:pPr>
            <w:r w:rsidRPr="00F63091">
              <w:rPr>
                <w:rFonts w:asciiTheme="majorEastAsia" w:eastAsiaTheme="majorEastAsia" w:hAnsiTheme="majorEastAsia"/>
                <w:sz w:val="52"/>
                <w:szCs w:val="21"/>
              </w:rPr>
              <w:t>□</w:t>
            </w:r>
          </w:p>
        </w:tc>
      </w:tr>
    </w:tbl>
    <w:p w:rsidR="00E92218" w:rsidRPr="00E92218" w:rsidRDefault="00E92218" w:rsidP="00E92218">
      <w:pPr>
        <w:rPr>
          <w:rFonts w:asciiTheme="majorEastAsia" w:eastAsiaTheme="majorEastAsia" w:hAnsiTheme="majorEastAsia"/>
          <w:szCs w:val="21"/>
        </w:rPr>
      </w:pPr>
    </w:p>
    <w:sectPr w:rsidR="00E92218" w:rsidRPr="00E92218" w:rsidSect="00753297">
      <w:pgSz w:w="11906" w:h="16838" w:code="9"/>
      <w:pgMar w:top="1134" w:right="119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91" w:rsidRDefault="00F63091" w:rsidP="00F63091">
      <w:r>
        <w:separator/>
      </w:r>
    </w:p>
  </w:endnote>
  <w:endnote w:type="continuationSeparator" w:id="0">
    <w:p w:rsidR="00F63091" w:rsidRDefault="00F63091" w:rsidP="00F6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91" w:rsidRDefault="00F63091" w:rsidP="00F63091">
      <w:r>
        <w:separator/>
      </w:r>
    </w:p>
  </w:footnote>
  <w:footnote w:type="continuationSeparator" w:id="0">
    <w:p w:rsidR="00F63091" w:rsidRDefault="00F63091" w:rsidP="00F63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E3"/>
    <w:rsid w:val="003937F7"/>
    <w:rsid w:val="00753297"/>
    <w:rsid w:val="008E0CE3"/>
    <w:rsid w:val="00B44879"/>
    <w:rsid w:val="00E92218"/>
    <w:rsid w:val="00F6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0E41D-1FA2-44FD-80E5-ECD2E480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7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7F7"/>
    <w:rPr>
      <w:rFonts w:asciiTheme="majorHAnsi" w:eastAsiaTheme="majorEastAsia" w:hAnsiTheme="majorHAnsi" w:cstheme="majorBidi"/>
      <w:sz w:val="18"/>
      <w:szCs w:val="18"/>
    </w:rPr>
  </w:style>
  <w:style w:type="paragraph" w:styleId="a6">
    <w:name w:val="header"/>
    <w:basedOn w:val="a"/>
    <w:link w:val="a7"/>
    <w:uiPriority w:val="99"/>
    <w:unhideWhenUsed/>
    <w:rsid w:val="00F63091"/>
    <w:pPr>
      <w:tabs>
        <w:tab w:val="center" w:pos="4252"/>
        <w:tab w:val="right" w:pos="8504"/>
      </w:tabs>
      <w:snapToGrid w:val="0"/>
    </w:pPr>
  </w:style>
  <w:style w:type="character" w:customStyle="1" w:styleId="a7">
    <w:name w:val="ヘッダー (文字)"/>
    <w:basedOn w:val="a0"/>
    <w:link w:val="a6"/>
    <w:uiPriority w:val="99"/>
    <w:rsid w:val="00F63091"/>
  </w:style>
  <w:style w:type="paragraph" w:styleId="a8">
    <w:name w:val="footer"/>
    <w:basedOn w:val="a"/>
    <w:link w:val="a9"/>
    <w:uiPriority w:val="99"/>
    <w:unhideWhenUsed/>
    <w:rsid w:val="00F63091"/>
    <w:pPr>
      <w:tabs>
        <w:tab w:val="center" w:pos="4252"/>
        <w:tab w:val="right" w:pos="8504"/>
      </w:tabs>
      <w:snapToGrid w:val="0"/>
    </w:pPr>
  </w:style>
  <w:style w:type="character" w:customStyle="1" w:styleId="a9">
    <w:name w:val="フッター (文字)"/>
    <w:basedOn w:val="a0"/>
    <w:link w:val="a8"/>
    <w:uiPriority w:val="99"/>
    <w:rsid w:val="00F6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雄大</dc:creator>
  <cp:keywords/>
  <dc:description/>
  <cp:lastModifiedBy>藤井　雄大</cp:lastModifiedBy>
  <cp:revision>3</cp:revision>
  <cp:lastPrinted>2021-09-29T05:41:00Z</cp:lastPrinted>
  <dcterms:created xsi:type="dcterms:W3CDTF">2021-09-29T05:10:00Z</dcterms:created>
  <dcterms:modified xsi:type="dcterms:W3CDTF">2021-09-29T05:49:00Z</dcterms:modified>
</cp:coreProperties>
</file>