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7B" w:rsidRDefault="003B147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（別紙２）</w:t>
      </w:r>
    </w:p>
    <w:p w:rsidR="003B147B" w:rsidRDefault="003B147B">
      <w:pPr>
        <w:kinsoku w:val="0"/>
        <w:overflowPunct w:val="0"/>
        <w:autoSpaceDE w:val="0"/>
        <w:autoSpaceDN w:val="0"/>
        <w:jc w:val="center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収　支　予　算　書</w:t>
      </w:r>
    </w:p>
    <w:p w:rsidR="003B147B" w:rsidRDefault="003B147B">
      <w:pPr>
        <w:kinsoku w:val="0"/>
        <w:overflowPunct w:val="0"/>
        <w:autoSpaceDE w:val="0"/>
        <w:autoSpaceDN w:val="0"/>
        <w:ind w:leftChars="100" w:left="840" w:hangingChars="200" w:hanging="560"/>
        <w:jc w:val="left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１　収入</w:t>
      </w:r>
    </w:p>
    <w:tbl>
      <w:tblPr>
        <w:tblW w:w="8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4416"/>
      </w:tblGrid>
      <w:tr w:rsidR="003B147B">
        <w:tc>
          <w:tcPr>
            <w:tcW w:w="2268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区　分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金額（円）</w:t>
            </w: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説　　明</w:t>
            </w:r>
          </w:p>
        </w:tc>
      </w:tr>
      <w:tr w:rsidR="003B147B">
        <w:tc>
          <w:tcPr>
            <w:tcW w:w="2268" w:type="dxa"/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県補助金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 w:hint="eastAsia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市補助金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その他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計</w:t>
            </w: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―</w:t>
            </w:r>
          </w:p>
        </w:tc>
      </w:tr>
    </w:tbl>
    <w:p w:rsidR="003B147B" w:rsidRDefault="003B147B">
      <w:pPr>
        <w:kinsoku w:val="0"/>
        <w:overflowPunct w:val="0"/>
        <w:autoSpaceDE w:val="0"/>
        <w:autoSpaceDN w:val="0"/>
        <w:ind w:leftChars="100" w:left="760" w:hangingChars="200" w:hanging="480"/>
        <w:jc w:val="left"/>
        <w:rPr>
          <w:rFonts w:ascii="游明朝" w:hAnsi="游明朝"/>
          <w:color w:val="000000"/>
          <w:sz w:val="20"/>
        </w:rPr>
      </w:pPr>
    </w:p>
    <w:p w:rsidR="003B147B" w:rsidRDefault="003B147B">
      <w:pPr>
        <w:kinsoku w:val="0"/>
        <w:overflowPunct w:val="0"/>
        <w:autoSpaceDE w:val="0"/>
        <w:autoSpaceDN w:val="0"/>
        <w:ind w:leftChars="100" w:left="840" w:hangingChars="200" w:hanging="560"/>
        <w:jc w:val="left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２　支出</w:t>
      </w:r>
    </w:p>
    <w:tbl>
      <w:tblPr>
        <w:tblW w:w="8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08"/>
        <w:gridCol w:w="1842"/>
        <w:gridCol w:w="4416"/>
      </w:tblGrid>
      <w:tr w:rsidR="003B147B"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区　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金額（円）</w:t>
            </w:r>
          </w:p>
        </w:tc>
        <w:tc>
          <w:tcPr>
            <w:tcW w:w="4416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説　　明</w:t>
            </w:r>
          </w:p>
        </w:tc>
      </w:tr>
      <w:tr w:rsidR="003B147B">
        <w:tc>
          <w:tcPr>
            <w:tcW w:w="852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補助対象経費</w:t>
            </w:r>
          </w:p>
        </w:tc>
      </w:tr>
      <w:tr w:rsidR="003B147B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ind w:leftChars="60" w:left="736" w:right="-136" w:hanging="568"/>
              <w:rPr>
                <w:rFonts w:ascii="游明朝" w:hAnsi="游明朝"/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360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277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345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255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330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270"/>
        </w:trPr>
        <w:tc>
          <w:tcPr>
            <w:tcW w:w="360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（小計）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―</w:t>
            </w:r>
          </w:p>
        </w:tc>
      </w:tr>
      <w:tr w:rsidR="003B147B"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補助対象外経費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rPr>
          <w:trHeight w:val="403"/>
        </w:trPr>
        <w:tc>
          <w:tcPr>
            <w:tcW w:w="2268" w:type="dxa"/>
            <w:gridSpan w:val="2"/>
            <w:vMerge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</w:p>
        </w:tc>
      </w:tr>
      <w:tr w:rsidR="003B147B">
        <w:tc>
          <w:tcPr>
            <w:tcW w:w="2268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right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（小計）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tcBorders>
              <w:bottom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―</w:t>
            </w:r>
          </w:p>
        </w:tc>
      </w:tr>
      <w:tr w:rsidR="003B147B"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明朝" w:hAnsi="游明朝"/>
                <w:color w:val="000000"/>
              </w:rPr>
            </w:pPr>
          </w:p>
        </w:tc>
        <w:tc>
          <w:tcPr>
            <w:tcW w:w="4416" w:type="dxa"/>
            <w:tcBorders>
              <w:top w:val="double" w:sz="4" w:space="0" w:color="auto"/>
            </w:tcBorders>
            <w:shd w:val="clear" w:color="auto" w:fill="auto"/>
          </w:tcPr>
          <w:p w:rsidR="003B147B" w:rsidRDefault="003B147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明朝" w:hAnsi="游明朝"/>
                <w:color w:val="000000"/>
              </w:rPr>
            </w:pPr>
            <w:r>
              <w:rPr>
                <w:rFonts w:ascii="游明朝" w:hAnsi="游明朝" w:hint="eastAsia"/>
                <w:color w:val="000000"/>
              </w:rPr>
              <w:t>―</w:t>
            </w:r>
          </w:p>
        </w:tc>
      </w:tr>
    </w:tbl>
    <w:p w:rsidR="003B147B" w:rsidRDefault="003B147B">
      <w:pPr>
        <w:kinsoku w:val="0"/>
        <w:overflowPunct w:val="0"/>
        <w:autoSpaceDE w:val="0"/>
        <w:autoSpaceDN w:val="0"/>
        <w:ind w:firstLineChars="200" w:firstLine="500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備考</w:t>
      </w:r>
    </w:p>
    <w:p w:rsidR="003B147B" w:rsidRDefault="003B147B">
      <w:pPr>
        <w:kinsoku w:val="0"/>
        <w:overflowPunct w:val="0"/>
        <w:autoSpaceDE w:val="0"/>
        <w:autoSpaceDN w:val="0"/>
        <w:ind w:firstLineChars="200" w:firstLine="500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１　金額は、消費税及び地方消費税を除く価格を記載すること。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firstLineChars="200" w:firstLine="50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２　</w:t>
      </w:r>
      <w:r>
        <w:rPr>
          <w:color w:val="000000"/>
          <w:sz w:val="21"/>
        </w:rPr>
        <w:t>補助金交付申請額は、</w:t>
      </w:r>
      <w:r>
        <w:rPr>
          <w:rFonts w:hint="eastAsia"/>
          <w:color w:val="000000"/>
          <w:sz w:val="21"/>
        </w:rPr>
        <w:t>補助事業に要する経費における県補助金の額に２分の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firstLineChars="300" w:firstLine="750"/>
        <w:rPr>
          <w:sz w:val="21"/>
        </w:rPr>
      </w:pPr>
      <w:r>
        <w:rPr>
          <w:rFonts w:hint="eastAsia"/>
          <w:color w:val="000000"/>
          <w:sz w:val="21"/>
        </w:rPr>
        <w:t>１を乗じて得た額</w:t>
      </w:r>
      <w:r>
        <w:rPr>
          <w:color w:val="000000"/>
          <w:sz w:val="21"/>
        </w:rPr>
        <w:t>（</w:t>
      </w:r>
      <w:r>
        <w:rPr>
          <w:sz w:val="21"/>
        </w:rPr>
        <w:t>算出した額に</w:t>
      </w:r>
      <w:r>
        <w:rPr>
          <w:rFonts w:hint="eastAsia"/>
          <w:sz w:val="21"/>
        </w:rPr>
        <w:t>1,000</w:t>
      </w:r>
      <w:r>
        <w:rPr>
          <w:sz w:val="21"/>
        </w:rPr>
        <w:t>円未満の端数があるときは、その端数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firstLineChars="300" w:firstLine="750"/>
        <w:rPr>
          <w:sz w:val="21"/>
        </w:rPr>
      </w:pPr>
      <w:r>
        <w:rPr>
          <w:sz w:val="21"/>
        </w:rPr>
        <w:t>は切り捨て）</w:t>
      </w:r>
      <w:r>
        <w:rPr>
          <w:rFonts w:hint="eastAsia"/>
          <w:sz w:val="21"/>
        </w:rPr>
        <w:t>とすること</w:t>
      </w:r>
      <w:r>
        <w:rPr>
          <w:sz w:val="21"/>
        </w:rPr>
        <w:t>。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leftChars="200" w:left="810" w:hangingChars="100" w:hanging="250"/>
        <w:rPr>
          <w:color w:val="000000"/>
          <w:sz w:val="21"/>
        </w:rPr>
      </w:pPr>
      <w:bookmarkStart w:id="0" w:name="_Hlk101346282"/>
      <w:r>
        <w:rPr>
          <w:rFonts w:hint="eastAsia"/>
          <w:color w:val="000000"/>
          <w:sz w:val="21"/>
        </w:rPr>
        <w:t>３　「補助対象経費」欄は、富山県働き方改革・女性活躍サポート事業補助金交付要綱</w:t>
      </w:r>
      <w:r>
        <w:rPr>
          <w:rFonts w:hint="eastAsia"/>
          <w:sz w:val="21"/>
        </w:rPr>
        <w:t>別表１の類別に沿って区分して記載すること。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firstLineChars="200" w:firstLine="500"/>
        <w:rPr>
          <w:sz w:val="21"/>
        </w:rPr>
      </w:pPr>
      <w:r>
        <w:rPr>
          <w:rFonts w:hint="eastAsia"/>
          <w:color w:val="000000"/>
          <w:sz w:val="21"/>
        </w:rPr>
        <w:t>４</w:t>
      </w:r>
      <w:bookmarkEnd w:id="0"/>
      <w:r>
        <w:rPr>
          <w:rFonts w:hint="eastAsia"/>
          <w:color w:val="000000"/>
          <w:sz w:val="21"/>
        </w:rPr>
        <w:t xml:space="preserve">　補助対象経費のうち主なものについては、</w:t>
      </w:r>
      <w:r>
        <w:rPr>
          <w:rFonts w:hint="eastAsia"/>
          <w:sz w:val="21"/>
        </w:rPr>
        <w:t>見積書の写しその他積算根拠とな</w:t>
      </w:r>
    </w:p>
    <w:p w:rsidR="003B147B" w:rsidRDefault="003B147B">
      <w:pPr>
        <w:kinsoku w:val="0"/>
        <w:overflowPunct w:val="0"/>
        <w:autoSpaceDE w:val="0"/>
        <w:autoSpaceDN w:val="0"/>
        <w:spacing w:line="336" w:lineRule="exact"/>
        <w:ind w:firstLineChars="300" w:firstLine="750"/>
        <w:rPr>
          <w:color w:val="000000"/>
          <w:sz w:val="21"/>
        </w:rPr>
      </w:pPr>
      <w:r>
        <w:rPr>
          <w:rFonts w:hint="eastAsia"/>
          <w:sz w:val="21"/>
        </w:rPr>
        <w:t>る資料を</w:t>
      </w:r>
      <w:r>
        <w:rPr>
          <w:rFonts w:hint="eastAsia"/>
          <w:color w:val="000000"/>
          <w:sz w:val="21"/>
        </w:rPr>
        <w:t>添付すること。</w:t>
      </w:r>
    </w:p>
    <w:p w:rsidR="003B147B" w:rsidRDefault="003B147B">
      <w:pPr>
        <w:kinsoku w:val="0"/>
        <w:overflowPunct w:val="0"/>
        <w:autoSpaceDE w:val="0"/>
        <w:autoSpaceDN w:val="0"/>
        <w:ind w:leftChars="100" w:left="560" w:hangingChars="100" w:hanging="280"/>
        <w:rPr>
          <w:rFonts w:hint="eastAsia"/>
        </w:rPr>
      </w:pPr>
      <w:bookmarkStart w:id="1" w:name="_GoBack"/>
      <w:bookmarkEnd w:id="1"/>
    </w:p>
    <w:sectPr w:rsidR="003B147B">
      <w:pgSz w:w="11906" w:h="16838"/>
      <w:pgMar w:top="1361" w:right="851" w:bottom="1191" w:left="1418" w:header="0" w:footer="0" w:gutter="0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BD" w:rsidRDefault="007625BD">
      <w:r>
        <w:separator/>
      </w:r>
    </w:p>
  </w:endnote>
  <w:endnote w:type="continuationSeparator" w:id="0">
    <w:p w:rsidR="007625BD" w:rsidRDefault="0076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BD" w:rsidRDefault="007625BD">
      <w:r>
        <w:separator/>
      </w:r>
    </w:p>
  </w:footnote>
  <w:footnote w:type="continuationSeparator" w:id="0">
    <w:p w:rsidR="007625BD" w:rsidRDefault="0076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DA"/>
    <w:rsid w:val="000A20DA"/>
    <w:rsid w:val="003B147B"/>
    <w:rsid w:val="007625BD"/>
    <w:rsid w:val="00B76082"/>
    <w:rsid w:val="00E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1EE4AD"/>
  <w15:chartTrackingRefBased/>
  <w15:docId w15:val="{9D884E3B-8E0F-4C84-9F49-63E3217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5">
    <w:name w:val="スタイル (記号と特殊文字) ＭＳ 明朝"/>
    <w:basedOn w:val="a0"/>
    <w:rPr>
      <w:lang w:val="en-US" w:eastAsia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customStyle="1" w:styleId="a4">
    <w:name w:val="記 (文字)"/>
    <w:link w:val="a3"/>
    <w:rPr>
      <w:rFonts w:ascii="ＭＳ 明朝" w:hAnsi="ＭＳ 明朝"/>
      <w:kern w:val="2"/>
      <w:sz w:val="24"/>
      <w:lang w:val="en-US" w:eastAsia="ja-JP"/>
    </w:rPr>
  </w:style>
  <w:style w:type="paragraph" w:styleId="ab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rFonts w:ascii="ＭＳ 明朝" w:hAnsi="ＭＳ 明朝"/>
      <w:kern w:val="2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勝沼　亜香音</cp:lastModifiedBy>
  <cp:revision>2</cp:revision>
  <cp:lastPrinted>2022-11-24T00:52:00Z</cp:lastPrinted>
  <dcterms:created xsi:type="dcterms:W3CDTF">2024-06-11T06:03:00Z</dcterms:created>
  <dcterms:modified xsi:type="dcterms:W3CDTF">2024-06-11T06:03:00Z</dcterms:modified>
  <cp:category/>
  <cp:contentStatus/>
</cp:coreProperties>
</file>